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6CF06F62" w14:textId="77777777" w:rsidTr="00AD6D80">
        <w:tc>
          <w:tcPr>
            <w:tcW w:w="8525" w:type="dxa"/>
            <w:gridSpan w:val="3"/>
            <w:tcBorders>
              <w:bottom w:val="single" w:sz="18" w:space="0" w:color="auto"/>
            </w:tcBorders>
          </w:tcPr>
          <w:p w14:paraId="1C6A96A7" w14:textId="77777777" w:rsidR="00C119A2" w:rsidRDefault="00C119A2" w:rsidP="00AD6D80">
            <w:pPr>
              <w:pStyle w:val="Infotext"/>
              <w:rPr>
                <w:rFonts w:ascii="Arial Black" w:hAnsi="Arial Black"/>
                <w:color w:val="999999"/>
                <w:sz w:val="36"/>
                <w:szCs w:val="36"/>
              </w:rPr>
            </w:pPr>
          </w:p>
          <w:p w14:paraId="402246E8" w14:textId="77777777" w:rsidR="00C119A2" w:rsidRDefault="00835F39"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DE78F15" wp14:editId="676901E7">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E06FBA2" w14:textId="77777777" w:rsidR="00C119A2" w:rsidRDefault="00C119A2" w:rsidP="00AD6D80">
            <w:pPr>
              <w:pStyle w:val="Infotext"/>
              <w:rPr>
                <w:rFonts w:ascii="Arial Black" w:hAnsi="Arial Black" w:cs="Arial"/>
                <w:sz w:val="36"/>
                <w:szCs w:val="36"/>
              </w:rPr>
            </w:pPr>
          </w:p>
        </w:tc>
      </w:tr>
      <w:tr w:rsidR="00333FAA" w14:paraId="71EE957E" w14:textId="77777777">
        <w:trPr>
          <w:gridAfter w:val="1"/>
          <w:wAfter w:w="15" w:type="dxa"/>
        </w:trPr>
        <w:tc>
          <w:tcPr>
            <w:tcW w:w="3456" w:type="dxa"/>
            <w:tcBorders>
              <w:bottom w:val="single" w:sz="18" w:space="0" w:color="auto"/>
            </w:tcBorders>
          </w:tcPr>
          <w:p w14:paraId="5EEDF444"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69C0C3AB"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231F77B3"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093FDC2E" w14:textId="77777777" w:rsidR="00333FAA" w:rsidRPr="005E3A10" w:rsidRDefault="00333FAA" w:rsidP="00A53B04">
            <w:pPr>
              <w:rPr>
                <w:rFonts w:ascii="Arial Black" w:hAnsi="Arial Black" w:cs="Arial"/>
                <w:szCs w:val="24"/>
              </w:rPr>
            </w:pPr>
          </w:p>
        </w:tc>
      </w:tr>
      <w:tr w:rsidR="00333FAA" w14:paraId="22A64A04" w14:textId="77777777">
        <w:trPr>
          <w:gridAfter w:val="1"/>
          <w:wAfter w:w="15" w:type="dxa"/>
        </w:trPr>
        <w:tc>
          <w:tcPr>
            <w:tcW w:w="3456" w:type="dxa"/>
            <w:tcBorders>
              <w:top w:val="single" w:sz="18" w:space="0" w:color="auto"/>
            </w:tcBorders>
          </w:tcPr>
          <w:p w14:paraId="68E9F93C"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730B5360"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148A8F40" w14:textId="22696578" w:rsidR="00333FAA" w:rsidRPr="005E3A10" w:rsidRDefault="00D026F7" w:rsidP="00D026F7">
            <w:pPr>
              <w:rPr>
                <w:rFonts w:cs="Arial"/>
                <w:szCs w:val="24"/>
              </w:rPr>
            </w:pPr>
            <w:r>
              <w:rPr>
                <w:rFonts w:cs="Arial"/>
                <w:szCs w:val="24"/>
              </w:rPr>
              <w:t>11</w:t>
            </w:r>
            <w:r w:rsidRPr="00D026F7">
              <w:rPr>
                <w:rFonts w:cs="Arial"/>
                <w:szCs w:val="24"/>
                <w:vertAlign w:val="superscript"/>
              </w:rPr>
              <w:t>th</w:t>
            </w:r>
            <w:r>
              <w:rPr>
                <w:rFonts w:cs="Arial"/>
                <w:szCs w:val="24"/>
              </w:rPr>
              <w:t xml:space="preserve"> July </w:t>
            </w:r>
            <w:r w:rsidR="00207EDF">
              <w:rPr>
                <w:rFonts w:cs="Arial"/>
                <w:szCs w:val="24"/>
              </w:rPr>
              <w:t>2019</w:t>
            </w:r>
          </w:p>
        </w:tc>
      </w:tr>
      <w:tr w:rsidR="00333FAA" w14:paraId="102C8211" w14:textId="77777777">
        <w:trPr>
          <w:gridAfter w:val="1"/>
          <w:wAfter w:w="15" w:type="dxa"/>
        </w:trPr>
        <w:tc>
          <w:tcPr>
            <w:tcW w:w="3456" w:type="dxa"/>
          </w:tcPr>
          <w:p w14:paraId="60724508"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1ACF2BFC" w14:textId="77777777" w:rsidR="00333FAA" w:rsidRPr="00C13A5F" w:rsidRDefault="00333FAA" w:rsidP="00A53B04">
            <w:pPr>
              <w:pStyle w:val="Infotext"/>
              <w:rPr>
                <w:rFonts w:ascii="Arial Black" w:hAnsi="Arial Black"/>
              </w:rPr>
            </w:pPr>
          </w:p>
        </w:tc>
        <w:tc>
          <w:tcPr>
            <w:tcW w:w="5054" w:type="dxa"/>
          </w:tcPr>
          <w:p w14:paraId="18D7217D" w14:textId="6F05E0A6" w:rsidR="00333FAA" w:rsidRPr="005E3A10" w:rsidRDefault="00D026F7" w:rsidP="00A53B04">
            <w:pPr>
              <w:rPr>
                <w:rFonts w:cs="Arial"/>
                <w:szCs w:val="24"/>
              </w:rPr>
            </w:pPr>
            <w:r>
              <w:rPr>
                <w:rFonts w:cs="Arial"/>
              </w:rPr>
              <w:t xml:space="preserve">Response to the </w:t>
            </w:r>
            <w:r w:rsidR="00041CF3">
              <w:rPr>
                <w:rFonts w:cs="Arial"/>
              </w:rPr>
              <w:t>Scrutiny Review into Preventing Youth Violence</w:t>
            </w:r>
          </w:p>
        </w:tc>
      </w:tr>
      <w:tr w:rsidR="00333FAA" w14:paraId="233DE677" w14:textId="77777777">
        <w:trPr>
          <w:gridAfter w:val="1"/>
          <w:wAfter w:w="15" w:type="dxa"/>
        </w:trPr>
        <w:tc>
          <w:tcPr>
            <w:tcW w:w="3456" w:type="dxa"/>
          </w:tcPr>
          <w:p w14:paraId="16868EDC"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432348BE" w14:textId="77777777" w:rsidR="00333FAA" w:rsidRPr="00C13A5F" w:rsidRDefault="00333FAA" w:rsidP="00A53B04">
            <w:pPr>
              <w:pStyle w:val="Infotext"/>
              <w:rPr>
                <w:rFonts w:ascii="Arial Black" w:hAnsi="Arial Black" w:cs="Arial"/>
              </w:rPr>
            </w:pPr>
          </w:p>
        </w:tc>
        <w:tc>
          <w:tcPr>
            <w:tcW w:w="5054" w:type="dxa"/>
          </w:tcPr>
          <w:p w14:paraId="13D9BD3F" w14:textId="539C0AFB" w:rsidR="00333FAA" w:rsidRPr="00730058" w:rsidRDefault="001C7E35" w:rsidP="00041CF3">
            <w:pPr>
              <w:pStyle w:val="Infotext"/>
              <w:rPr>
                <w:rFonts w:cs="Arial"/>
                <w:sz w:val="24"/>
                <w:szCs w:val="24"/>
              </w:rPr>
            </w:pPr>
            <w:r w:rsidRPr="005E3A10">
              <w:rPr>
                <w:rFonts w:cs="Arial"/>
                <w:sz w:val="24"/>
                <w:szCs w:val="24"/>
              </w:rPr>
              <w:t>No</w:t>
            </w:r>
          </w:p>
        </w:tc>
      </w:tr>
      <w:tr w:rsidR="001C7E35" w14:paraId="02033751" w14:textId="77777777">
        <w:trPr>
          <w:gridAfter w:val="1"/>
          <w:wAfter w:w="15" w:type="dxa"/>
        </w:trPr>
        <w:tc>
          <w:tcPr>
            <w:tcW w:w="3456" w:type="dxa"/>
          </w:tcPr>
          <w:p w14:paraId="18BF2F2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79800543" w14:textId="77777777" w:rsidR="001C7E35" w:rsidRPr="00C13A5F" w:rsidRDefault="001C7E35" w:rsidP="00A53B04">
            <w:pPr>
              <w:pStyle w:val="Infotext"/>
              <w:rPr>
                <w:rFonts w:ascii="Arial Black" w:hAnsi="Arial Black" w:cs="Arial"/>
              </w:rPr>
            </w:pPr>
          </w:p>
        </w:tc>
        <w:tc>
          <w:tcPr>
            <w:tcW w:w="5054" w:type="dxa"/>
          </w:tcPr>
          <w:p w14:paraId="3F56DA58" w14:textId="4CA13CB8" w:rsidR="001C7E35" w:rsidRPr="00382E42" w:rsidRDefault="00E42DF8" w:rsidP="002602E4">
            <w:pPr>
              <w:pStyle w:val="Infotext"/>
              <w:rPr>
                <w:rFonts w:cs="Arial"/>
                <w:sz w:val="24"/>
                <w:szCs w:val="24"/>
              </w:rPr>
            </w:pPr>
            <w:r>
              <w:rPr>
                <w:sz w:val="24"/>
                <w:szCs w:val="24"/>
              </w:rPr>
              <w:t>Paul Hewitt, Corporate Director of People</w:t>
            </w:r>
          </w:p>
        </w:tc>
      </w:tr>
      <w:tr w:rsidR="001C7E35" w14:paraId="512869DA" w14:textId="77777777">
        <w:trPr>
          <w:gridAfter w:val="1"/>
          <w:wAfter w:w="15" w:type="dxa"/>
        </w:trPr>
        <w:tc>
          <w:tcPr>
            <w:tcW w:w="3456" w:type="dxa"/>
          </w:tcPr>
          <w:p w14:paraId="506DCDA1" w14:textId="33A012B3" w:rsidR="001C7E35" w:rsidRPr="00DB6C3D" w:rsidRDefault="001C7E35" w:rsidP="00DB6C3D">
            <w:pPr>
              <w:pStyle w:val="Infotext"/>
              <w:rPr>
                <w:rFonts w:ascii="Arial Black" w:hAnsi="Arial Black"/>
              </w:rPr>
            </w:pPr>
            <w:r w:rsidRPr="00DB6C3D">
              <w:rPr>
                <w:rFonts w:ascii="Arial Black" w:hAnsi="Arial Black"/>
              </w:rPr>
              <w:t>Portfolio Holder</w:t>
            </w:r>
            <w:r w:rsidR="00D25CCF">
              <w:rPr>
                <w:rFonts w:ascii="Arial Black" w:hAnsi="Arial Black"/>
              </w:rPr>
              <w:t>s</w:t>
            </w:r>
            <w:r w:rsidRPr="00DB6C3D">
              <w:rPr>
                <w:rFonts w:ascii="Arial Black" w:hAnsi="Arial Black"/>
              </w:rPr>
              <w:t>:</w:t>
            </w:r>
          </w:p>
          <w:p w14:paraId="1F7683F7" w14:textId="77777777" w:rsidR="001C7E35" w:rsidRPr="00C13A5F" w:rsidRDefault="001C7E35" w:rsidP="00A53B04">
            <w:pPr>
              <w:pStyle w:val="BodyText"/>
              <w:rPr>
                <w:rFonts w:ascii="Arial Black" w:hAnsi="Arial Black"/>
              </w:rPr>
            </w:pPr>
          </w:p>
        </w:tc>
        <w:tc>
          <w:tcPr>
            <w:tcW w:w="5054" w:type="dxa"/>
          </w:tcPr>
          <w:p w14:paraId="20B1697B" w14:textId="33D5FEE3" w:rsidR="001C7E35" w:rsidRPr="005E3A10" w:rsidRDefault="00041CF3" w:rsidP="00D25CCF">
            <w:pPr>
              <w:pStyle w:val="Infotext"/>
              <w:rPr>
                <w:rFonts w:cs="Arial"/>
                <w:color w:val="FF0000"/>
                <w:sz w:val="24"/>
                <w:szCs w:val="24"/>
              </w:rPr>
            </w:pPr>
            <w:r>
              <w:rPr>
                <w:rFonts w:cs="Arial"/>
                <w:sz w:val="24"/>
                <w:szCs w:val="24"/>
              </w:rPr>
              <w:t>Councillor Krishna Suresh, Portfolio Holder for Community Cohesion and Crime</w:t>
            </w:r>
            <w:r w:rsidR="00D25CCF">
              <w:rPr>
                <w:rFonts w:cs="Arial"/>
                <w:sz w:val="24"/>
                <w:szCs w:val="24"/>
              </w:rPr>
              <w:t>, Councillor Christine Robson Suresh, Portfolio Holder for Young People and Schools</w:t>
            </w:r>
          </w:p>
        </w:tc>
      </w:tr>
      <w:tr w:rsidR="001C7E35" w14:paraId="655D6A03" w14:textId="77777777">
        <w:trPr>
          <w:gridAfter w:val="1"/>
          <w:wAfter w:w="15" w:type="dxa"/>
        </w:trPr>
        <w:tc>
          <w:tcPr>
            <w:tcW w:w="3456" w:type="dxa"/>
          </w:tcPr>
          <w:p w14:paraId="1671A5B1" w14:textId="77777777" w:rsidR="001C7E35" w:rsidRPr="00DB6C3D" w:rsidRDefault="001C7E35" w:rsidP="00DB6C3D">
            <w:pPr>
              <w:pStyle w:val="Infotext"/>
              <w:rPr>
                <w:rFonts w:ascii="Arial Black" w:hAnsi="Arial Black"/>
              </w:rPr>
            </w:pPr>
            <w:r w:rsidRPr="00DB6C3D">
              <w:rPr>
                <w:rFonts w:ascii="Arial Black" w:hAnsi="Arial Black"/>
              </w:rPr>
              <w:t>Exempt:</w:t>
            </w:r>
          </w:p>
          <w:p w14:paraId="20EE3472" w14:textId="77777777" w:rsidR="001C7E35" w:rsidRPr="00C13A5F" w:rsidRDefault="001C7E35" w:rsidP="00A53B04">
            <w:pPr>
              <w:pStyle w:val="BodyText"/>
              <w:rPr>
                <w:rFonts w:ascii="Arial Black" w:hAnsi="Arial Black"/>
              </w:rPr>
            </w:pPr>
          </w:p>
        </w:tc>
        <w:tc>
          <w:tcPr>
            <w:tcW w:w="5054" w:type="dxa"/>
          </w:tcPr>
          <w:p w14:paraId="6D5EB548" w14:textId="77777777" w:rsidR="001C7E35" w:rsidRPr="005E3A10" w:rsidRDefault="00041CF3" w:rsidP="00041CF3">
            <w:pPr>
              <w:pStyle w:val="Infotext"/>
              <w:rPr>
                <w:rFonts w:cs="Arial"/>
                <w:color w:val="FF0000"/>
                <w:sz w:val="24"/>
                <w:szCs w:val="24"/>
              </w:rPr>
            </w:pPr>
            <w:r>
              <w:rPr>
                <w:rFonts w:cs="Arial"/>
                <w:sz w:val="24"/>
                <w:szCs w:val="24"/>
              </w:rPr>
              <w:t>Yes</w:t>
            </w:r>
          </w:p>
        </w:tc>
      </w:tr>
      <w:tr w:rsidR="001C7E35" w14:paraId="22133BD0" w14:textId="77777777">
        <w:trPr>
          <w:gridAfter w:val="1"/>
          <w:wAfter w:w="15" w:type="dxa"/>
        </w:trPr>
        <w:tc>
          <w:tcPr>
            <w:tcW w:w="3456" w:type="dxa"/>
          </w:tcPr>
          <w:p w14:paraId="4BB8F3A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1167D2C4" w14:textId="77777777" w:rsidR="001C7E35" w:rsidRPr="00C13A5F" w:rsidRDefault="001C7E35" w:rsidP="00A53B04">
            <w:pPr>
              <w:pStyle w:val="BodyText"/>
              <w:rPr>
                <w:rFonts w:ascii="Arial Black" w:hAnsi="Arial Black"/>
              </w:rPr>
            </w:pPr>
          </w:p>
        </w:tc>
        <w:tc>
          <w:tcPr>
            <w:tcW w:w="5054" w:type="dxa"/>
          </w:tcPr>
          <w:p w14:paraId="570D6A2A" w14:textId="77777777" w:rsidR="001C7E35" w:rsidRPr="005E3A10" w:rsidRDefault="001C7E35" w:rsidP="00D835CF">
            <w:pPr>
              <w:pStyle w:val="Infotext"/>
              <w:rPr>
                <w:rFonts w:cs="Arial"/>
                <w:sz w:val="24"/>
                <w:szCs w:val="24"/>
              </w:rPr>
            </w:pPr>
            <w:r w:rsidRPr="005E3A10">
              <w:rPr>
                <w:rFonts w:cs="Arial"/>
                <w:sz w:val="24"/>
                <w:szCs w:val="24"/>
              </w:rPr>
              <w:t>No</w:t>
            </w:r>
          </w:p>
          <w:p w14:paraId="38AEB99B" w14:textId="77777777" w:rsidR="00714BEE" w:rsidRPr="005E3A10" w:rsidRDefault="00714BEE" w:rsidP="00041CF3">
            <w:pPr>
              <w:rPr>
                <w:rFonts w:cs="Arial"/>
                <w:szCs w:val="24"/>
              </w:rPr>
            </w:pPr>
          </w:p>
        </w:tc>
      </w:tr>
      <w:tr w:rsidR="001C7E35" w14:paraId="19A80FD7" w14:textId="77777777">
        <w:trPr>
          <w:gridAfter w:val="1"/>
          <w:wAfter w:w="15" w:type="dxa"/>
        </w:trPr>
        <w:tc>
          <w:tcPr>
            <w:tcW w:w="3456" w:type="dxa"/>
          </w:tcPr>
          <w:p w14:paraId="56EA5F7F" w14:textId="77777777" w:rsidR="001C7E35" w:rsidRDefault="001C7E35" w:rsidP="00A53B04">
            <w:pPr>
              <w:pStyle w:val="Infotext"/>
              <w:rPr>
                <w:rFonts w:ascii="Arial Black" w:hAnsi="Arial Black" w:cs="Arial"/>
              </w:rPr>
            </w:pPr>
            <w:r>
              <w:rPr>
                <w:rFonts w:ascii="Arial Black" w:hAnsi="Arial Black" w:cs="Arial"/>
              </w:rPr>
              <w:t>Wards affected:</w:t>
            </w:r>
          </w:p>
          <w:p w14:paraId="785E692B" w14:textId="77777777" w:rsidR="001C7E35" w:rsidRPr="00C13A5F" w:rsidRDefault="001C7E35" w:rsidP="00A53B04">
            <w:pPr>
              <w:pStyle w:val="Infotext"/>
              <w:rPr>
                <w:rFonts w:ascii="Arial Black" w:hAnsi="Arial Black" w:cs="Arial"/>
              </w:rPr>
            </w:pPr>
          </w:p>
        </w:tc>
        <w:tc>
          <w:tcPr>
            <w:tcW w:w="5054" w:type="dxa"/>
          </w:tcPr>
          <w:p w14:paraId="606B910A" w14:textId="43E160A2" w:rsidR="00307F76" w:rsidRPr="00382E42" w:rsidRDefault="00E42DF8" w:rsidP="00D835CF">
            <w:pPr>
              <w:rPr>
                <w:rFonts w:cs="Arial"/>
                <w:color w:val="FF0000"/>
                <w:szCs w:val="24"/>
              </w:rPr>
            </w:pPr>
            <w:r>
              <w:rPr>
                <w:rFonts w:cs="Arial"/>
                <w:szCs w:val="24"/>
              </w:rPr>
              <w:t>All</w:t>
            </w:r>
          </w:p>
        </w:tc>
      </w:tr>
      <w:tr w:rsidR="00E42DF8" w:rsidRPr="00E42DF8" w14:paraId="4D456F9B" w14:textId="77777777">
        <w:trPr>
          <w:gridAfter w:val="1"/>
          <w:wAfter w:w="15" w:type="dxa"/>
        </w:trPr>
        <w:tc>
          <w:tcPr>
            <w:tcW w:w="3456" w:type="dxa"/>
          </w:tcPr>
          <w:p w14:paraId="5F747176"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1131AB37" w14:textId="77777777" w:rsidR="001C7E35" w:rsidRPr="00C13A5F" w:rsidRDefault="001C7E35" w:rsidP="00A53B04">
            <w:pPr>
              <w:pStyle w:val="Infotext"/>
              <w:rPr>
                <w:rFonts w:ascii="Arial Black" w:hAnsi="Arial Black" w:cs="Arial"/>
              </w:rPr>
            </w:pPr>
          </w:p>
        </w:tc>
        <w:tc>
          <w:tcPr>
            <w:tcW w:w="5054" w:type="dxa"/>
          </w:tcPr>
          <w:p w14:paraId="39820D4F" w14:textId="79441E4C" w:rsidR="001C7E35" w:rsidRPr="00E42DF8" w:rsidRDefault="00E42DF8" w:rsidP="00BD722B">
            <w:pPr>
              <w:rPr>
                <w:szCs w:val="24"/>
              </w:rPr>
            </w:pPr>
            <w:r w:rsidRPr="00E42DF8">
              <w:rPr>
                <w:szCs w:val="24"/>
              </w:rPr>
              <w:t>Preventing Youth Violence Scrutiny Review</w:t>
            </w:r>
          </w:p>
        </w:tc>
      </w:tr>
    </w:tbl>
    <w:p w14:paraId="147CCD5F"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0E472D30" w14:textId="77777777">
        <w:tc>
          <w:tcPr>
            <w:tcW w:w="8525" w:type="dxa"/>
            <w:tcBorders>
              <w:top w:val="nil"/>
              <w:left w:val="nil"/>
              <w:right w:val="nil"/>
            </w:tcBorders>
          </w:tcPr>
          <w:p w14:paraId="12DF7BB9" w14:textId="77777777" w:rsidR="00333FAA" w:rsidRDefault="00333FAA" w:rsidP="00A53B04">
            <w:pPr>
              <w:pStyle w:val="Heading1"/>
            </w:pPr>
            <w:r>
              <w:t>Section 1 – Summary and Recommendations</w:t>
            </w:r>
          </w:p>
          <w:p w14:paraId="229A2341" w14:textId="77777777" w:rsidR="00333FAA" w:rsidRDefault="00333FAA" w:rsidP="00A53B04"/>
        </w:tc>
      </w:tr>
      <w:tr w:rsidR="00333FAA" w14:paraId="6B2C35AF" w14:textId="77777777">
        <w:tc>
          <w:tcPr>
            <w:tcW w:w="8525" w:type="dxa"/>
          </w:tcPr>
          <w:p w14:paraId="5B9D433B" w14:textId="77777777" w:rsidR="00333FAA" w:rsidRDefault="00333FAA" w:rsidP="00A53B04"/>
          <w:p w14:paraId="03769655" w14:textId="3BF799CF" w:rsidR="00140D2F" w:rsidRPr="002210F3" w:rsidRDefault="00140D2F" w:rsidP="00140D2F">
            <w:pPr>
              <w:rPr>
                <w:rFonts w:cs="Arial"/>
              </w:rPr>
            </w:pPr>
            <w:r w:rsidRPr="006D40AC">
              <w:t xml:space="preserve">This report provides responses to the recommendations from the </w:t>
            </w:r>
            <w:r>
              <w:t>Regeneration Scrutiny Panel Report on Preventing</w:t>
            </w:r>
            <w:r w:rsidR="002602E4">
              <w:t xml:space="preserve"> Youth Violence from April 2019</w:t>
            </w:r>
          </w:p>
          <w:p w14:paraId="7771E416" w14:textId="77777777" w:rsidR="00140D2F" w:rsidRDefault="00140D2F" w:rsidP="00140D2F">
            <w:pPr>
              <w:pStyle w:val="Heading2"/>
            </w:pPr>
          </w:p>
          <w:p w14:paraId="67481C72" w14:textId="77777777" w:rsidR="00140D2F" w:rsidRDefault="00140D2F" w:rsidP="00140D2F">
            <w:pPr>
              <w:pStyle w:val="Heading2"/>
            </w:pPr>
            <w:r>
              <w:t>Recommendations:</w:t>
            </w:r>
          </w:p>
          <w:p w14:paraId="54783660" w14:textId="77777777" w:rsidR="00140D2F" w:rsidRDefault="00140D2F" w:rsidP="00140D2F">
            <w:pPr>
              <w:pStyle w:val="Heading2"/>
            </w:pPr>
            <w:r>
              <w:t xml:space="preserve"> </w:t>
            </w:r>
          </w:p>
          <w:p w14:paraId="22CAEF79" w14:textId="77777777" w:rsidR="00140D2F" w:rsidRPr="006D40AC" w:rsidRDefault="00140D2F" w:rsidP="00140D2F">
            <w:r w:rsidRPr="006D40AC">
              <w:t>Cabinet is requested to:</w:t>
            </w:r>
          </w:p>
          <w:p w14:paraId="5E51AC54" w14:textId="77777777" w:rsidR="00140D2F" w:rsidRPr="006D40AC" w:rsidRDefault="00140D2F" w:rsidP="00630C17">
            <w:pPr>
              <w:numPr>
                <w:ilvl w:val="0"/>
                <w:numId w:val="8"/>
              </w:numPr>
            </w:pPr>
            <w:r w:rsidRPr="006D40AC">
              <w:t xml:space="preserve">Note the recommendations of the </w:t>
            </w:r>
            <w:r>
              <w:t>Overview and Scrutiny Committee</w:t>
            </w:r>
          </w:p>
          <w:p w14:paraId="7E4CF545" w14:textId="77777777" w:rsidR="00140D2F" w:rsidRPr="006D40AC" w:rsidRDefault="00140D2F" w:rsidP="00630C17">
            <w:pPr>
              <w:numPr>
                <w:ilvl w:val="0"/>
                <w:numId w:val="8"/>
              </w:numPr>
            </w:pPr>
            <w:r>
              <w:t>Note the</w:t>
            </w:r>
            <w:r w:rsidRPr="006D40AC">
              <w:t xml:space="preserve"> actions </w:t>
            </w:r>
            <w:r>
              <w:t xml:space="preserve">undertaken in response </w:t>
            </w:r>
            <w:r w:rsidRPr="006D40AC">
              <w:t xml:space="preserve">to the recommendations as set </w:t>
            </w:r>
            <w:r w:rsidRPr="006D40AC">
              <w:lastRenderedPageBreak/>
              <w:t>out in this report.</w:t>
            </w:r>
          </w:p>
          <w:p w14:paraId="696A4157" w14:textId="77777777" w:rsidR="00140D2F" w:rsidRDefault="00140D2F" w:rsidP="00140D2F"/>
          <w:p w14:paraId="2C598863" w14:textId="77777777" w:rsidR="00140D2F" w:rsidRDefault="00140D2F" w:rsidP="00140D2F">
            <w:pPr>
              <w:pStyle w:val="Heading2"/>
              <w:rPr>
                <w:color w:val="FF0000"/>
              </w:rPr>
            </w:pPr>
            <w:r>
              <w:t xml:space="preserve">Reason:  (For recommendations) </w:t>
            </w:r>
            <w:r>
              <w:rPr>
                <w:color w:val="FF0000"/>
              </w:rPr>
              <w:t xml:space="preserve"> </w:t>
            </w:r>
          </w:p>
          <w:p w14:paraId="01D21962" w14:textId="77777777" w:rsidR="00140D2F" w:rsidRPr="005505F2" w:rsidRDefault="00140D2F" w:rsidP="00140D2F"/>
          <w:p w14:paraId="322081D6" w14:textId="77777777" w:rsidR="00333FAA" w:rsidRDefault="00140D2F" w:rsidP="00140D2F">
            <w:pPr>
              <w:pStyle w:val="Heading2"/>
              <w:rPr>
                <w:b w:val="0"/>
                <w:sz w:val="24"/>
                <w:szCs w:val="24"/>
              </w:rPr>
            </w:pPr>
            <w:r w:rsidRPr="006D40AC">
              <w:rPr>
                <w:b w:val="0"/>
                <w:sz w:val="24"/>
                <w:szCs w:val="24"/>
              </w:rPr>
              <w:t xml:space="preserve">The recommendations and responses are </w:t>
            </w:r>
            <w:r>
              <w:rPr>
                <w:b w:val="0"/>
                <w:sz w:val="24"/>
                <w:szCs w:val="24"/>
              </w:rPr>
              <w:t xml:space="preserve">based on </w:t>
            </w:r>
            <w:r w:rsidRPr="006D40AC">
              <w:rPr>
                <w:b w:val="0"/>
                <w:sz w:val="24"/>
                <w:szCs w:val="24"/>
              </w:rPr>
              <w:t xml:space="preserve">the outcome of the </w:t>
            </w:r>
            <w:r>
              <w:rPr>
                <w:b w:val="0"/>
                <w:sz w:val="24"/>
                <w:szCs w:val="24"/>
              </w:rPr>
              <w:t xml:space="preserve">Preventing Youth Violence </w:t>
            </w:r>
            <w:r w:rsidRPr="006D40AC">
              <w:rPr>
                <w:b w:val="0"/>
                <w:sz w:val="24"/>
                <w:szCs w:val="24"/>
              </w:rPr>
              <w:t xml:space="preserve">Scrutiny Review </w:t>
            </w:r>
            <w:r>
              <w:rPr>
                <w:b w:val="0"/>
                <w:sz w:val="24"/>
                <w:szCs w:val="24"/>
              </w:rPr>
              <w:t>process</w:t>
            </w:r>
            <w:r w:rsidRPr="006D40AC">
              <w:rPr>
                <w:b w:val="0"/>
                <w:sz w:val="24"/>
                <w:szCs w:val="24"/>
              </w:rPr>
              <w:t>.</w:t>
            </w:r>
          </w:p>
          <w:p w14:paraId="5649E03C" w14:textId="5C5B3581" w:rsidR="00140D2F" w:rsidRPr="00140D2F" w:rsidRDefault="00140D2F" w:rsidP="00140D2F"/>
        </w:tc>
      </w:tr>
    </w:tbl>
    <w:p w14:paraId="1F15D1B3" w14:textId="77777777" w:rsidR="0036201C" w:rsidRPr="0036201C" w:rsidRDefault="0036201C" w:rsidP="0036201C"/>
    <w:p w14:paraId="231A8484" w14:textId="77777777" w:rsidR="00333FAA" w:rsidRDefault="00333FAA" w:rsidP="00333FAA">
      <w:pPr>
        <w:pStyle w:val="Heading1"/>
      </w:pPr>
      <w:r>
        <w:t>Section 2 – Report</w:t>
      </w:r>
    </w:p>
    <w:p w14:paraId="5BEC6325" w14:textId="77777777" w:rsidR="001C7E35" w:rsidRDefault="001C7E35" w:rsidP="001C7E35">
      <w:pPr>
        <w:pStyle w:val="Heading2"/>
      </w:pPr>
      <w:r>
        <w:t>Introductory paragraph</w:t>
      </w:r>
    </w:p>
    <w:p w14:paraId="16A47AC7" w14:textId="77777777" w:rsidR="001C7E35" w:rsidRDefault="001C7E35" w:rsidP="00140D2F"/>
    <w:p w14:paraId="505E8628" w14:textId="55264732" w:rsidR="00140D2F" w:rsidRPr="00686731" w:rsidRDefault="00FD47C4" w:rsidP="00140D2F">
      <w:pPr>
        <w:jc w:val="both"/>
        <w:rPr>
          <w:color w:val="000000"/>
        </w:rPr>
      </w:pPr>
      <w:r>
        <w:rPr>
          <w:color w:val="000000"/>
        </w:rPr>
        <w:t>The purpose of the review was</w:t>
      </w:r>
      <w:r w:rsidR="00140D2F" w:rsidRPr="00686731">
        <w:rPr>
          <w:color w:val="000000"/>
        </w:rPr>
        <w:t xml:space="preserve"> to investigate how we might use all of the Council’s policies and strategies  to contribute to reducing youth crime and anti-social behaviour in a more ‘Public Health approach’ to Youth Crime. Specifically, the review aimed to:</w:t>
      </w:r>
    </w:p>
    <w:p w14:paraId="554D8E3D" w14:textId="77777777" w:rsidR="00140D2F" w:rsidRPr="00686731" w:rsidRDefault="00140D2F" w:rsidP="00140D2F">
      <w:pPr>
        <w:jc w:val="both"/>
        <w:rPr>
          <w:color w:val="000000"/>
        </w:rPr>
      </w:pPr>
    </w:p>
    <w:p w14:paraId="1B568E9B" w14:textId="77777777" w:rsidR="00140D2F" w:rsidRPr="00686731" w:rsidRDefault="00140D2F" w:rsidP="00630C17">
      <w:pPr>
        <w:numPr>
          <w:ilvl w:val="0"/>
          <w:numId w:val="7"/>
        </w:numPr>
        <w:jc w:val="both"/>
        <w:rPr>
          <w:color w:val="000000"/>
        </w:rPr>
      </w:pPr>
      <w:r w:rsidRPr="00686731">
        <w:rPr>
          <w:color w:val="000000"/>
        </w:rPr>
        <w:t>Understand how a ‘Public Health approach’ can contribute to reducing youth violence, to identify changes we could make to Council policies and strategies so they contribute to the reduction in youth crime and ASB</w:t>
      </w:r>
    </w:p>
    <w:p w14:paraId="62A99EFB" w14:textId="77777777" w:rsidR="00140D2F" w:rsidRPr="00686731" w:rsidRDefault="00140D2F" w:rsidP="00630C17">
      <w:pPr>
        <w:numPr>
          <w:ilvl w:val="0"/>
          <w:numId w:val="7"/>
        </w:numPr>
        <w:jc w:val="both"/>
        <w:rPr>
          <w:color w:val="000000"/>
        </w:rPr>
      </w:pPr>
      <w:r w:rsidRPr="00686731">
        <w:rPr>
          <w:color w:val="000000"/>
        </w:rPr>
        <w:t>Understand what the drivers are behind the rise in youth crime in Harrow and best practise in other boroughs</w:t>
      </w:r>
    </w:p>
    <w:p w14:paraId="2044F8C0" w14:textId="77777777" w:rsidR="00140D2F" w:rsidRPr="00686731" w:rsidRDefault="00140D2F" w:rsidP="00630C17">
      <w:pPr>
        <w:numPr>
          <w:ilvl w:val="0"/>
          <w:numId w:val="7"/>
        </w:numPr>
        <w:jc w:val="both"/>
        <w:rPr>
          <w:color w:val="000000"/>
        </w:rPr>
      </w:pPr>
      <w:r w:rsidRPr="00686731">
        <w:rPr>
          <w:color w:val="000000"/>
        </w:rPr>
        <w:t>Inform the Council’s refresh of the VVE strategy, including the role of consultation with young people</w:t>
      </w:r>
    </w:p>
    <w:p w14:paraId="11079101" w14:textId="77777777" w:rsidR="00140D2F" w:rsidRPr="00686731" w:rsidRDefault="00140D2F" w:rsidP="00630C17">
      <w:pPr>
        <w:numPr>
          <w:ilvl w:val="0"/>
          <w:numId w:val="7"/>
        </w:numPr>
        <w:jc w:val="both"/>
        <w:rPr>
          <w:color w:val="000000"/>
        </w:rPr>
      </w:pPr>
      <w:r w:rsidRPr="00686731">
        <w:rPr>
          <w:color w:val="000000"/>
        </w:rPr>
        <w:t>Investigate the better use of intelligence to target key people to stop youth violence and deter involvement</w:t>
      </w:r>
    </w:p>
    <w:p w14:paraId="6A529021" w14:textId="77777777" w:rsidR="00140D2F" w:rsidRPr="00686731" w:rsidRDefault="00140D2F" w:rsidP="00140D2F">
      <w:pPr>
        <w:ind w:left="720"/>
        <w:jc w:val="both"/>
        <w:rPr>
          <w:color w:val="000000"/>
        </w:rPr>
      </w:pPr>
    </w:p>
    <w:p w14:paraId="7C7027BD" w14:textId="77777777" w:rsidR="00140D2F" w:rsidRPr="00686731" w:rsidRDefault="00140D2F" w:rsidP="00140D2F">
      <w:pPr>
        <w:jc w:val="both"/>
        <w:rPr>
          <w:color w:val="000000"/>
        </w:rPr>
      </w:pPr>
      <w:r w:rsidRPr="00686731">
        <w:rPr>
          <w:color w:val="000000"/>
        </w:rPr>
        <w:t>The measure of success for this scrutiny review was to ensure policy changes are agreed; that there is a greater understanding amongst decisions makers to make a difference to young people’s lives, through partnership working and information sharing; and to enable the better use of intelligence to target key people to stop youth violence and deter involvement.</w:t>
      </w:r>
    </w:p>
    <w:p w14:paraId="711E4CCB" w14:textId="77777777" w:rsidR="00382E42" w:rsidRDefault="00382E42" w:rsidP="00FD47C4"/>
    <w:p w14:paraId="03FA55BF" w14:textId="756E452E" w:rsidR="00FD47C4" w:rsidRPr="002F388D" w:rsidRDefault="00FD47C4" w:rsidP="00FD47C4">
      <w:pPr>
        <w:rPr>
          <w:b/>
          <w:sz w:val="28"/>
        </w:rPr>
      </w:pPr>
      <w:r w:rsidRPr="002F388D">
        <w:rPr>
          <w:b/>
          <w:sz w:val="28"/>
        </w:rPr>
        <w:t>Background</w:t>
      </w:r>
    </w:p>
    <w:p w14:paraId="35B82B9F" w14:textId="77777777" w:rsidR="00FD47C4" w:rsidRDefault="00FD47C4" w:rsidP="00FD47C4"/>
    <w:p w14:paraId="7BA770AF" w14:textId="77777777" w:rsidR="00FD47C4" w:rsidRPr="00686731" w:rsidRDefault="00FD47C4" w:rsidP="00FD47C4">
      <w:pPr>
        <w:jc w:val="both"/>
        <w:rPr>
          <w:color w:val="000000"/>
        </w:rPr>
      </w:pPr>
      <w:r w:rsidRPr="00686731">
        <w:rPr>
          <w:color w:val="000000"/>
        </w:rPr>
        <w:t>This Scrutiny Review has involved desk research conducted by the Policy Team, one Challenge Panel and a series of meetings and field visits as detailed below:</w:t>
      </w:r>
    </w:p>
    <w:p w14:paraId="619AE667" w14:textId="77777777" w:rsidR="00FD47C4" w:rsidRPr="00686731" w:rsidRDefault="00FD47C4" w:rsidP="00FD47C4">
      <w:pPr>
        <w:jc w:val="both"/>
        <w:rPr>
          <w:color w:val="000000"/>
        </w:rPr>
      </w:pPr>
    </w:p>
    <w:p w14:paraId="0E85EECA" w14:textId="77777777" w:rsidR="00FD47C4" w:rsidRDefault="00FD47C4" w:rsidP="00630C17">
      <w:pPr>
        <w:numPr>
          <w:ilvl w:val="0"/>
          <w:numId w:val="9"/>
        </w:numPr>
        <w:jc w:val="both"/>
        <w:rPr>
          <w:color w:val="000000"/>
        </w:rPr>
      </w:pPr>
      <w:r w:rsidRPr="00686731">
        <w:rPr>
          <w:color w:val="000000"/>
        </w:rPr>
        <w:t>Policy Officers undertook desk research into the public health approach to youth violence. The aim was to give members an understanding of the origins of the public health approach and its aims. The panel also had the opportunity to examine the Council’s Community Safety and Violence, Vulnerability and Exploitation Strategy, the most recent Youth Offending Team data, the ‘This is Harrow’ young people needs analysis, and the Mayor’s Office of Policing and Crime London Crime Prevention Funded programmes, which include programmes, that seek to tackle some aspects of youth violence.</w:t>
      </w:r>
    </w:p>
    <w:p w14:paraId="38863C54" w14:textId="77777777" w:rsidR="00FD47C4" w:rsidRPr="00686731" w:rsidRDefault="00FD47C4" w:rsidP="00FD47C4">
      <w:pPr>
        <w:ind w:left="720"/>
        <w:jc w:val="both"/>
        <w:rPr>
          <w:color w:val="000000"/>
        </w:rPr>
      </w:pPr>
    </w:p>
    <w:p w14:paraId="4326680A" w14:textId="77777777" w:rsidR="00FD47C4" w:rsidRPr="00686731" w:rsidRDefault="00FD47C4" w:rsidP="00630C17">
      <w:pPr>
        <w:numPr>
          <w:ilvl w:val="0"/>
          <w:numId w:val="9"/>
        </w:numPr>
        <w:jc w:val="both"/>
        <w:rPr>
          <w:color w:val="000000"/>
        </w:rPr>
      </w:pPr>
      <w:r w:rsidRPr="00686731">
        <w:rPr>
          <w:color w:val="000000"/>
        </w:rPr>
        <w:lastRenderedPageBreak/>
        <w:t xml:space="preserve">Members also undertook a series of meetings with Children’s Services and Community Safety Team &amp; Observation of the Daily VVE meeting, a meeting with police in-charge of schools, a meeting with Dan Burke from the Young Harrow Foundation, and a meeting with PK Maselino at The Helix, a Pupil Referral Unit. Field visits took place to Ignite, The Wealdstone Centre, Rooks Heath School with participants of Synergy Theatre, the Cadets at </w:t>
      </w:r>
      <w:proofErr w:type="spellStart"/>
      <w:r w:rsidRPr="00686731">
        <w:rPr>
          <w:color w:val="000000"/>
        </w:rPr>
        <w:t>Nower</w:t>
      </w:r>
      <w:proofErr w:type="spellEnd"/>
      <w:r w:rsidRPr="00686731">
        <w:rPr>
          <w:color w:val="000000"/>
        </w:rPr>
        <w:t xml:space="preserve"> Hill School.</w:t>
      </w:r>
    </w:p>
    <w:p w14:paraId="10C54354" w14:textId="77777777" w:rsidR="00FD47C4" w:rsidRDefault="00FD47C4" w:rsidP="00FD47C4">
      <w:pPr>
        <w:ind w:left="720"/>
        <w:jc w:val="both"/>
        <w:rPr>
          <w:color w:val="000000"/>
        </w:rPr>
      </w:pPr>
    </w:p>
    <w:p w14:paraId="33722B5D" w14:textId="1ED198B2" w:rsidR="00FD47C4" w:rsidRPr="00686731" w:rsidRDefault="00FD47C4" w:rsidP="00630C17">
      <w:pPr>
        <w:numPr>
          <w:ilvl w:val="0"/>
          <w:numId w:val="9"/>
        </w:numPr>
        <w:jc w:val="both"/>
        <w:rPr>
          <w:color w:val="000000"/>
        </w:rPr>
      </w:pPr>
      <w:r w:rsidRPr="00686731">
        <w:rPr>
          <w:color w:val="000000"/>
        </w:rPr>
        <w:t xml:space="preserve">One Challenge Panel was held, with questions being put to the Corporate Director for People’s, the Divisional Director for Children’s, the Director </w:t>
      </w:r>
      <w:r w:rsidR="002602E4">
        <w:rPr>
          <w:color w:val="000000"/>
        </w:rPr>
        <w:t>of Strategy</w:t>
      </w:r>
      <w:r w:rsidRPr="00686731">
        <w:rPr>
          <w:color w:val="000000"/>
        </w:rPr>
        <w:t>, and the Head of Service for Community Safety.</w:t>
      </w:r>
    </w:p>
    <w:p w14:paraId="2260EE6C" w14:textId="77777777" w:rsidR="00FD47C4" w:rsidRDefault="00FD47C4" w:rsidP="001C7E35"/>
    <w:p w14:paraId="537205C7" w14:textId="77777777" w:rsidR="00FD47C4" w:rsidRDefault="00FD47C4" w:rsidP="00FD47C4">
      <w:pPr>
        <w:rPr>
          <w:b/>
          <w:sz w:val="28"/>
          <w:szCs w:val="28"/>
        </w:rPr>
      </w:pPr>
      <w:r>
        <w:rPr>
          <w:b/>
          <w:sz w:val="28"/>
          <w:szCs w:val="28"/>
        </w:rPr>
        <w:t>Recommendations and responses</w:t>
      </w:r>
    </w:p>
    <w:p w14:paraId="58548BD1" w14:textId="77777777" w:rsidR="00FD47C4" w:rsidRDefault="00FD47C4" w:rsidP="00FD47C4">
      <w:pPr>
        <w:rPr>
          <w:b/>
          <w:sz w:val="28"/>
          <w:szCs w:val="28"/>
        </w:rPr>
      </w:pPr>
    </w:p>
    <w:p w14:paraId="30820681" w14:textId="6FE90636" w:rsidR="00964712" w:rsidRPr="00964712" w:rsidRDefault="00964712" w:rsidP="00FD47C4">
      <w:pPr>
        <w:rPr>
          <w:szCs w:val="24"/>
        </w:rPr>
      </w:pPr>
      <w:r w:rsidRPr="00964712">
        <w:rPr>
          <w:szCs w:val="24"/>
        </w:rPr>
        <w:t xml:space="preserve">The Community Safety VVE and Youth Justice Plans are on the agenda which is why this report is also being considered at this meeting. References are based upon the published cabinet papers. </w:t>
      </w:r>
      <w:proofErr w:type="spellStart"/>
      <w:r w:rsidRPr="00964712">
        <w:rPr>
          <w:szCs w:val="24"/>
        </w:rPr>
        <w:t>Itr</w:t>
      </w:r>
      <w:proofErr w:type="spellEnd"/>
      <w:r w:rsidRPr="00964712">
        <w:rPr>
          <w:szCs w:val="24"/>
        </w:rPr>
        <w:t xml:space="preserve"> is also worth noting that the plans were considered after the Youth Violence Scrutiny review report at Overview and Scrutiny as part of a consultation as these papers proceed towards a discussion at Cabinet.</w:t>
      </w:r>
    </w:p>
    <w:p w14:paraId="07404CBF" w14:textId="77777777" w:rsidR="00964712" w:rsidRDefault="00964712" w:rsidP="00FD47C4">
      <w:pPr>
        <w:rPr>
          <w:b/>
          <w:sz w:val="28"/>
          <w:szCs w:val="28"/>
        </w:rPr>
      </w:pPr>
    </w:p>
    <w:p w14:paraId="3E84B9AD" w14:textId="18363182" w:rsidR="00FD47C4" w:rsidRPr="00E92FCA" w:rsidRDefault="00FD47C4" w:rsidP="00FD47C4">
      <w:r w:rsidRPr="00E92FCA">
        <w:t xml:space="preserve">The table below sets out responses to the recommendations arising from the </w:t>
      </w:r>
      <w:r w:rsidR="0057144B">
        <w:t>Scrutiny Review into Preventing Youth Violence:</w:t>
      </w:r>
    </w:p>
    <w:p w14:paraId="04D3F925" w14:textId="77777777" w:rsidR="00FD47C4" w:rsidRDefault="00FD47C4" w:rsidP="00FD47C4">
      <w:pPr>
        <w:rPr>
          <w:color w:val="0000FF"/>
        </w:rPr>
      </w:pPr>
    </w:p>
    <w:tbl>
      <w:tblPr>
        <w:tblW w:w="8882"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55"/>
        <w:gridCol w:w="4924"/>
      </w:tblGrid>
      <w:tr w:rsidR="00FD47C4" w:rsidRPr="00D2082E" w14:paraId="484BFED7" w14:textId="77777777" w:rsidTr="00084E2F">
        <w:trPr>
          <w:jc w:val="center"/>
        </w:trPr>
        <w:tc>
          <w:tcPr>
            <w:tcW w:w="429" w:type="dxa"/>
            <w:shd w:val="clear" w:color="auto" w:fill="auto"/>
          </w:tcPr>
          <w:p w14:paraId="5309A501" w14:textId="77777777" w:rsidR="00FD47C4" w:rsidRPr="00D2082E" w:rsidRDefault="00FD47C4" w:rsidP="00084E2F">
            <w:pPr>
              <w:rPr>
                <w:rFonts w:cs="Arial"/>
                <w:b/>
                <w:szCs w:val="24"/>
              </w:rPr>
            </w:pPr>
            <w:r w:rsidRPr="00D2082E">
              <w:rPr>
                <w:rFonts w:cs="Arial"/>
                <w:b/>
                <w:szCs w:val="24"/>
              </w:rPr>
              <w:t>No.</w:t>
            </w:r>
          </w:p>
        </w:tc>
        <w:tc>
          <w:tcPr>
            <w:tcW w:w="3409" w:type="dxa"/>
            <w:shd w:val="clear" w:color="auto" w:fill="auto"/>
          </w:tcPr>
          <w:p w14:paraId="340C09C8" w14:textId="77777777" w:rsidR="00FD47C4" w:rsidRPr="00D2082E" w:rsidRDefault="00FD47C4" w:rsidP="008F582A">
            <w:pPr>
              <w:rPr>
                <w:rFonts w:cs="Arial"/>
                <w:b/>
                <w:szCs w:val="24"/>
              </w:rPr>
            </w:pPr>
            <w:r w:rsidRPr="00D2082E">
              <w:rPr>
                <w:rFonts w:cs="Arial"/>
                <w:b/>
                <w:szCs w:val="24"/>
              </w:rPr>
              <w:t>Recommendation</w:t>
            </w:r>
          </w:p>
        </w:tc>
        <w:tc>
          <w:tcPr>
            <w:tcW w:w="5044" w:type="dxa"/>
            <w:shd w:val="clear" w:color="auto" w:fill="auto"/>
          </w:tcPr>
          <w:p w14:paraId="4CDFFF25" w14:textId="77777777" w:rsidR="00FD47C4" w:rsidRPr="00D2082E" w:rsidRDefault="00FD47C4" w:rsidP="008F582A">
            <w:pPr>
              <w:rPr>
                <w:rFonts w:cs="Arial"/>
                <w:b/>
                <w:szCs w:val="24"/>
              </w:rPr>
            </w:pPr>
            <w:r w:rsidRPr="00D2082E">
              <w:rPr>
                <w:rFonts w:cs="Arial"/>
                <w:b/>
                <w:szCs w:val="24"/>
              </w:rPr>
              <w:t>Response</w:t>
            </w:r>
          </w:p>
        </w:tc>
      </w:tr>
      <w:tr w:rsidR="00FD47C4" w:rsidRPr="00817A40" w14:paraId="686F9172" w14:textId="77777777" w:rsidTr="00084E2F">
        <w:trPr>
          <w:jc w:val="center"/>
        </w:trPr>
        <w:tc>
          <w:tcPr>
            <w:tcW w:w="429" w:type="dxa"/>
            <w:shd w:val="clear" w:color="auto" w:fill="auto"/>
          </w:tcPr>
          <w:p w14:paraId="267C5420" w14:textId="2C2BD365" w:rsidR="00FD47C4" w:rsidRPr="00817A40" w:rsidRDefault="00817A40" w:rsidP="00817A40">
            <w:pPr>
              <w:jc w:val="both"/>
              <w:rPr>
                <w:rFonts w:cs="Arial"/>
                <w:szCs w:val="24"/>
              </w:rPr>
            </w:pPr>
            <w:r w:rsidRPr="00817A40">
              <w:rPr>
                <w:rFonts w:cs="Arial"/>
                <w:szCs w:val="24"/>
              </w:rPr>
              <w:t>1.</w:t>
            </w:r>
          </w:p>
        </w:tc>
        <w:tc>
          <w:tcPr>
            <w:tcW w:w="3409" w:type="dxa"/>
            <w:shd w:val="clear" w:color="auto" w:fill="auto"/>
          </w:tcPr>
          <w:p w14:paraId="39EA2B75" w14:textId="026676CE" w:rsidR="00FD47C4" w:rsidRPr="00817A40" w:rsidRDefault="00817A40" w:rsidP="008F582A">
            <w:pPr>
              <w:pStyle w:val="NoSpacing"/>
              <w:rPr>
                <w:rFonts w:ascii="Arial" w:hAnsi="Arial" w:cs="Arial"/>
                <w:sz w:val="24"/>
                <w:szCs w:val="24"/>
              </w:rPr>
            </w:pPr>
            <w:r w:rsidRPr="00817A40">
              <w:rPr>
                <w:rFonts w:ascii="Arial" w:hAnsi="Arial" w:cs="Arial"/>
                <w:color w:val="000000"/>
                <w:sz w:val="24"/>
                <w:szCs w:val="24"/>
              </w:rPr>
              <w:t>Each time a strategy or policy is reviewed a specific perspective on reducing youth violence should be included.</w:t>
            </w:r>
          </w:p>
        </w:tc>
        <w:tc>
          <w:tcPr>
            <w:tcW w:w="5044" w:type="dxa"/>
            <w:shd w:val="clear" w:color="auto" w:fill="auto"/>
          </w:tcPr>
          <w:p w14:paraId="216E5C5F" w14:textId="55B2BDB5" w:rsidR="00FD47C4" w:rsidRDefault="00E54BA4" w:rsidP="008F582A">
            <w:pPr>
              <w:rPr>
                <w:rFonts w:cs="Arial"/>
                <w:szCs w:val="24"/>
              </w:rPr>
            </w:pPr>
            <w:r w:rsidRPr="008F582A">
              <w:rPr>
                <w:rFonts w:cs="Arial"/>
                <w:szCs w:val="24"/>
              </w:rPr>
              <w:t xml:space="preserve">For Corporate Directors and </w:t>
            </w:r>
            <w:r w:rsidR="008F582A">
              <w:rPr>
                <w:rFonts w:cs="Arial"/>
                <w:szCs w:val="24"/>
              </w:rPr>
              <w:t>Corporate Strategic Board</w:t>
            </w:r>
            <w:r w:rsidRPr="008F582A">
              <w:rPr>
                <w:rFonts w:cs="Arial"/>
                <w:szCs w:val="24"/>
              </w:rPr>
              <w:t xml:space="preserve"> to cascade the message and to check that all strategies </w:t>
            </w:r>
            <w:r w:rsidR="001C4842" w:rsidRPr="008F582A">
              <w:rPr>
                <w:rFonts w:cs="Arial"/>
                <w:szCs w:val="24"/>
              </w:rPr>
              <w:t>consider how</w:t>
            </w:r>
            <w:r w:rsidRPr="008F582A">
              <w:rPr>
                <w:rFonts w:cs="Arial"/>
                <w:szCs w:val="24"/>
              </w:rPr>
              <w:t xml:space="preserve"> policies impact on preventing youth </w:t>
            </w:r>
            <w:r w:rsidR="00FF2D08" w:rsidRPr="008F582A">
              <w:rPr>
                <w:rFonts w:cs="Arial"/>
                <w:szCs w:val="24"/>
              </w:rPr>
              <w:t xml:space="preserve">violence as they go </w:t>
            </w:r>
            <w:r w:rsidRPr="008F582A">
              <w:rPr>
                <w:rFonts w:cs="Arial"/>
                <w:szCs w:val="24"/>
              </w:rPr>
              <w:t>through the sign-off process.</w:t>
            </w:r>
          </w:p>
          <w:p w14:paraId="21DA7E15" w14:textId="77777777" w:rsidR="00E54BA4" w:rsidRDefault="00E54BA4" w:rsidP="008F582A">
            <w:pPr>
              <w:rPr>
                <w:rFonts w:cs="Arial"/>
                <w:szCs w:val="24"/>
              </w:rPr>
            </w:pPr>
          </w:p>
          <w:p w14:paraId="679208FC" w14:textId="2B1EE7C4" w:rsidR="00E54BA4" w:rsidRPr="00817A40" w:rsidRDefault="00E54BA4" w:rsidP="008F582A">
            <w:pPr>
              <w:rPr>
                <w:rFonts w:cs="Arial"/>
                <w:szCs w:val="24"/>
              </w:rPr>
            </w:pPr>
            <w:r>
              <w:rPr>
                <w:rFonts w:cs="Arial"/>
                <w:szCs w:val="24"/>
              </w:rPr>
              <w:t xml:space="preserve">The Policy Team are currently undertaking a strategic piece of work that looks at all strategies, identifying </w:t>
            </w:r>
            <w:r>
              <w:t xml:space="preserve">the Council and Harrow’s partnership approach </w:t>
            </w:r>
            <w:r w:rsidR="003B3D85">
              <w:t>and</w:t>
            </w:r>
            <w:r>
              <w:t xml:space="preserve"> current offer </w:t>
            </w:r>
            <w:r w:rsidR="003B3D85">
              <w:t>for young people in Harrow.</w:t>
            </w:r>
          </w:p>
        </w:tc>
      </w:tr>
      <w:tr w:rsidR="00FD47C4" w:rsidRPr="00817A40" w14:paraId="19E7BC5A" w14:textId="77777777" w:rsidTr="00084E2F">
        <w:trPr>
          <w:jc w:val="center"/>
        </w:trPr>
        <w:tc>
          <w:tcPr>
            <w:tcW w:w="429" w:type="dxa"/>
            <w:shd w:val="clear" w:color="auto" w:fill="auto"/>
          </w:tcPr>
          <w:p w14:paraId="13127C02" w14:textId="28598377" w:rsidR="00FD47C4" w:rsidRPr="00817A40" w:rsidRDefault="00817A40" w:rsidP="00817A40">
            <w:pPr>
              <w:jc w:val="both"/>
              <w:rPr>
                <w:rFonts w:cs="Arial"/>
                <w:szCs w:val="24"/>
              </w:rPr>
            </w:pPr>
            <w:r w:rsidRPr="00817A40">
              <w:rPr>
                <w:rFonts w:cs="Arial"/>
                <w:szCs w:val="24"/>
              </w:rPr>
              <w:t>2.</w:t>
            </w:r>
          </w:p>
        </w:tc>
        <w:tc>
          <w:tcPr>
            <w:tcW w:w="3409" w:type="dxa"/>
            <w:shd w:val="clear" w:color="auto" w:fill="auto"/>
          </w:tcPr>
          <w:p w14:paraId="472C1977" w14:textId="0ACFA3C9" w:rsidR="00FD47C4" w:rsidRPr="00817A40" w:rsidRDefault="00817A40" w:rsidP="008F582A">
            <w:pPr>
              <w:pStyle w:val="NoSpacing"/>
              <w:rPr>
                <w:rFonts w:ascii="Arial" w:hAnsi="Arial" w:cs="Arial"/>
                <w:color w:val="000000"/>
                <w:sz w:val="24"/>
                <w:szCs w:val="24"/>
              </w:rPr>
            </w:pPr>
            <w:r w:rsidRPr="00817A40">
              <w:rPr>
                <w:rFonts w:ascii="Arial" w:hAnsi="Arial" w:cs="Arial"/>
                <w:sz w:val="24"/>
                <w:szCs w:val="24"/>
              </w:rPr>
              <w:t>The Council to work in collaboration with the Police and Schools to address the priorities agreed within the CS, VVE Strategy.</w:t>
            </w:r>
          </w:p>
        </w:tc>
        <w:tc>
          <w:tcPr>
            <w:tcW w:w="5044" w:type="dxa"/>
            <w:shd w:val="clear" w:color="auto" w:fill="auto"/>
          </w:tcPr>
          <w:p w14:paraId="3D9CC892" w14:textId="2261E0F6" w:rsidR="008F582A" w:rsidRDefault="008F582A" w:rsidP="008F582A">
            <w:pPr>
              <w:rPr>
                <w:rFonts w:cs="Arial"/>
                <w:szCs w:val="24"/>
              </w:rPr>
            </w:pPr>
            <w:r w:rsidRPr="008F582A">
              <w:rPr>
                <w:rFonts w:cs="Arial"/>
                <w:szCs w:val="24"/>
              </w:rPr>
              <w:t xml:space="preserve">The Community Safety and Violence, Vulnerability and Exploitation Delivery Plan which has been developed in collaboration with partners and members of Safer Harrow will help the Safer Harrow partnership to achieve the priorities agreed in the Community Safety and Violence, Vulnerability and Exploitation Strategy. </w:t>
            </w:r>
          </w:p>
          <w:p w14:paraId="4B0D1AB6" w14:textId="77777777" w:rsidR="00964712" w:rsidRDefault="00964712" w:rsidP="008F582A">
            <w:pPr>
              <w:rPr>
                <w:rFonts w:cs="Arial"/>
                <w:szCs w:val="24"/>
              </w:rPr>
            </w:pPr>
          </w:p>
          <w:p w14:paraId="50C684FE" w14:textId="588296DF" w:rsidR="00964712" w:rsidRPr="008F582A" w:rsidRDefault="00964712" w:rsidP="008F582A">
            <w:pPr>
              <w:rPr>
                <w:rFonts w:cs="Arial"/>
                <w:szCs w:val="24"/>
              </w:rPr>
            </w:pPr>
            <w:r>
              <w:t>The Delivery Plan is an appendix to the report.</w:t>
            </w:r>
          </w:p>
          <w:p w14:paraId="42C76C9E" w14:textId="77777777" w:rsidR="008F582A" w:rsidRPr="008F582A" w:rsidRDefault="008F582A" w:rsidP="008F582A">
            <w:pPr>
              <w:rPr>
                <w:rFonts w:cs="Arial"/>
                <w:szCs w:val="24"/>
              </w:rPr>
            </w:pPr>
          </w:p>
          <w:p w14:paraId="1E3532D4" w14:textId="15A24F21" w:rsidR="00FF2D08" w:rsidRPr="008F582A" w:rsidRDefault="008F582A" w:rsidP="008F582A">
            <w:pPr>
              <w:rPr>
                <w:rFonts w:cs="Arial"/>
                <w:szCs w:val="24"/>
              </w:rPr>
            </w:pPr>
            <w:r w:rsidRPr="008F582A">
              <w:rPr>
                <w:rFonts w:cs="Arial"/>
                <w:szCs w:val="24"/>
              </w:rPr>
              <w:t>This Delivery P</w:t>
            </w:r>
            <w:r w:rsidR="00FF2D08" w:rsidRPr="008F582A">
              <w:rPr>
                <w:rFonts w:cs="Arial"/>
                <w:szCs w:val="24"/>
              </w:rPr>
              <w:t xml:space="preserve">lan includes actions aimed at </w:t>
            </w:r>
            <w:r w:rsidR="00FF2D08" w:rsidRPr="008F582A">
              <w:rPr>
                <w:rFonts w:cs="Arial"/>
                <w:szCs w:val="24"/>
              </w:rPr>
              <w:lastRenderedPageBreak/>
              <w:t>ensuring there is a joined up approach between all key stakeholders. The Youth Justice Plan outlines the governance and partnership arrangements (</w:t>
            </w:r>
            <w:r w:rsidRPr="008F582A">
              <w:rPr>
                <w:rFonts w:cs="Arial"/>
                <w:szCs w:val="24"/>
              </w:rPr>
              <w:t xml:space="preserve">please refer to </w:t>
            </w:r>
            <w:r w:rsidR="00FF2D08" w:rsidRPr="008F582A">
              <w:rPr>
                <w:rFonts w:cs="Arial"/>
                <w:szCs w:val="24"/>
              </w:rPr>
              <w:t xml:space="preserve">Harrow </w:t>
            </w:r>
            <w:r w:rsidRPr="008F582A">
              <w:rPr>
                <w:rFonts w:cs="Arial"/>
                <w:szCs w:val="24"/>
              </w:rPr>
              <w:t>the Youth Justice</w:t>
            </w:r>
            <w:r w:rsidR="00FF2D08" w:rsidRPr="008F582A">
              <w:rPr>
                <w:rFonts w:cs="Arial"/>
                <w:szCs w:val="24"/>
              </w:rPr>
              <w:t xml:space="preserve"> Plan 2019/20, p32) for our working together towards the agreed priorities (</w:t>
            </w:r>
            <w:r w:rsidRPr="008F582A">
              <w:rPr>
                <w:rFonts w:cs="Arial"/>
                <w:szCs w:val="24"/>
              </w:rPr>
              <w:t xml:space="preserve">refer to Youth Justice </w:t>
            </w:r>
            <w:r w:rsidR="00FF2D08" w:rsidRPr="008F582A">
              <w:rPr>
                <w:rFonts w:cs="Arial"/>
                <w:szCs w:val="24"/>
              </w:rPr>
              <w:t>Plan 2019/20, p30)</w:t>
            </w:r>
            <w:r w:rsidRPr="008F582A">
              <w:rPr>
                <w:rFonts w:cs="Arial"/>
                <w:szCs w:val="24"/>
              </w:rPr>
              <w:t>.</w:t>
            </w:r>
          </w:p>
          <w:p w14:paraId="79EBC062" w14:textId="77777777" w:rsidR="00FF2D08" w:rsidRPr="008F582A" w:rsidRDefault="00FF2D08" w:rsidP="008F582A">
            <w:pPr>
              <w:rPr>
                <w:rFonts w:cs="Arial"/>
                <w:szCs w:val="24"/>
              </w:rPr>
            </w:pPr>
          </w:p>
          <w:p w14:paraId="079ECA4C" w14:textId="0E56C57F" w:rsidR="00FF2D08" w:rsidRPr="008F582A" w:rsidRDefault="00FF2D08" w:rsidP="008F582A">
            <w:pPr>
              <w:rPr>
                <w:rFonts w:cs="Arial"/>
                <w:szCs w:val="24"/>
              </w:rPr>
            </w:pPr>
            <w:r w:rsidRPr="008F582A">
              <w:rPr>
                <w:rFonts w:cs="Arial"/>
                <w:szCs w:val="24"/>
              </w:rPr>
              <w:t>In addition, the YOT team includes YOT specialist police officers and education specialists. The agencies are also represented on the governance</w:t>
            </w:r>
            <w:r w:rsidR="008F582A">
              <w:rPr>
                <w:rFonts w:cs="Arial"/>
                <w:szCs w:val="24"/>
              </w:rPr>
              <w:t xml:space="preserve"> </w:t>
            </w:r>
            <w:r w:rsidRPr="008F582A">
              <w:rPr>
                <w:rFonts w:cs="Arial"/>
                <w:szCs w:val="24"/>
              </w:rPr>
              <w:t>/</w:t>
            </w:r>
            <w:r w:rsidR="008F582A">
              <w:rPr>
                <w:rFonts w:cs="Arial"/>
                <w:szCs w:val="24"/>
              </w:rPr>
              <w:t xml:space="preserve"> </w:t>
            </w:r>
            <w:r w:rsidRPr="008F582A">
              <w:rPr>
                <w:rFonts w:cs="Arial"/>
                <w:szCs w:val="24"/>
              </w:rPr>
              <w:t>management board.</w:t>
            </w:r>
          </w:p>
          <w:p w14:paraId="71C38200" w14:textId="77777777" w:rsidR="00FF2D08" w:rsidRPr="008F582A" w:rsidRDefault="00FF2D08" w:rsidP="008F582A">
            <w:pPr>
              <w:rPr>
                <w:rFonts w:cs="Arial"/>
                <w:szCs w:val="24"/>
              </w:rPr>
            </w:pPr>
          </w:p>
          <w:p w14:paraId="01D9C1AD" w14:textId="2DC0EFAF" w:rsidR="00FF2D08" w:rsidRPr="008F582A" w:rsidRDefault="008F582A" w:rsidP="00964712">
            <w:pPr>
              <w:rPr>
                <w:rFonts w:cs="Arial"/>
                <w:szCs w:val="24"/>
              </w:rPr>
            </w:pPr>
            <w:r w:rsidRPr="008F582A">
              <w:rPr>
                <w:rFonts w:cs="Arial"/>
                <w:szCs w:val="24"/>
              </w:rPr>
              <w:t xml:space="preserve">More recently, the Council </w:t>
            </w:r>
            <w:r w:rsidR="0057144B" w:rsidRPr="008F582A">
              <w:rPr>
                <w:rFonts w:cs="Arial"/>
                <w:szCs w:val="24"/>
              </w:rPr>
              <w:t>have strengthened their partnership with the police, including introducing a new model of contextual safeguarding</w:t>
            </w:r>
            <w:r w:rsidR="003222CF" w:rsidRPr="008F582A">
              <w:rPr>
                <w:rFonts w:cs="Arial"/>
                <w:szCs w:val="24"/>
              </w:rPr>
              <w:t xml:space="preserve"> that is being delivered by the University of Bedfordshire</w:t>
            </w:r>
            <w:r w:rsidR="0057144B" w:rsidRPr="008F582A">
              <w:rPr>
                <w:rFonts w:cs="Arial"/>
                <w:szCs w:val="24"/>
              </w:rPr>
              <w:t xml:space="preserve">, which youth practitioners in the Council, </w:t>
            </w:r>
            <w:r w:rsidR="003222CF" w:rsidRPr="008F582A">
              <w:rPr>
                <w:rFonts w:cs="Arial"/>
                <w:szCs w:val="24"/>
              </w:rPr>
              <w:t xml:space="preserve">the </w:t>
            </w:r>
            <w:r w:rsidR="0057144B" w:rsidRPr="008F582A">
              <w:rPr>
                <w:rFonts w:cs="Arial"/>
                <w:szCs w:val="24"/>
              </w:rPr>
              <w:t xml:space="preserve">voluntary sector, schools and police colleagues are being trained up in. It is hoped that this new approach will lead </w:t>
            </w:r>
            <w:r w:rsidR="00964712">
              <w:rPr>
                <w:rFonts w:cs="Arial"/>
                <w:szCs w:val="24"/>
              </w:rPr>
              <w:t xml:space="preserve">to </w:t>
            </w:r>
            <w:r w:rsidR="0057144B" w:rsidRPr="008F582A">
              <w:rPr>
                <w:rFonts w:cs="Arial"/>
                <w:szCs w:val="24"/>
              </w:rPr>
              <w:t xml:space="preserve">a more </w:t>
            </w:r>
            <w:r w:rsidR="003222CF" w:rsidRPr="008F582A">
              <w:rPr>
                <w:rFonts w:cs="Arial"/>
                <w:szCs w:val="24"/>
              </w:rPr>
              <w:t>unified</w:t>
            </w:r>
            <w:r w:rsidR="0057144B" w:rsidRPr="008F582A">
              <w:rPr>
                <w:rFonts w:cs="Arial"/>
                <w:szCs w:val="24"/>
              </w:rPr>
              <w:t xml:space="preserve"> strategic understanding of the issues faced by young people and how to tackle them holistically.</w:t>
            </w:r>
          </w:p>
        </w:tc>
      </w:tr>
      <w:tr w:rsidR="00FD47C4" w:rsidRPr="00817A40" w14:paraId="74B5C67D" w14:textId="77777777" w:rsidTr="00084E2F">
        <w:trPr>
          <w:jc w:val="center"/>
        </w:trPr>
        <w:tc>
          <w:tcPr>
            <w:tcW w:w="429" w:type="dxa"/>
            <w:shd w:val="clear" w:color="auto" w:fill="auto"/>
          </w:tcPr>
          <w:p w14:paraId="07D8511A" w14:textId="0D15216F" w:rsidR="00FD47C4" w:rsidRPr="00817A40" w:rsidRDefault="00817A40" w:rsidP="00817A40">
            <w:pPr>
              <w:jc w:val="both"/>
              <w:rPr>
                <w:rFonts w:cs="Arial"/>
                <w:szCs w:val="24"/>
              </w:rPr>
            </w:pPr>
            <w:r w:rsidRPr="00817A40">
              <w:rPr>
                <w:rFonts w:cs="Arial"/>
                <w:szCs w:val="24"/>
              </w:rPr>
              <w:lastRenderedPageBreak/>
              <w:t>3.</w:t>
            </w:r>
          </w:p>
        </w:tc>
        <w:tc>
          <w:tcPr>
            <w:tcW w:w="3409" w:type="dxa"/>
            <w:shd w:val="clear" w:color="auto" w:fill="auto"/>
          </w:tcPr>
          <w:p w14:paraId="10ABF750" w14:textId="3D34BC69" w:rsidR="00FD47C4" w:rsidRPr="00817A40" w:rsidRDefault="00817A40" w:rsidP="008F582A">
            <w:pPr>
              <w:pStyle w:val="NoSpacing"/>
              <w:rPr>
                <w:rFonts w:ascii="Arial" w:hAnsi="Arial" w:cs="Arial"/>
                <w:sz w:val="24"/>
                <w:szCs w:val="24"/>
              </w:rPr>
            </w:pPr>
            <w:r w:rsidRPr="00817A40">
              <w:rPr>
                <w:rFonts w:ascii="Arial" w:hAnsi="Arial" w:cs="Arial"/>
                <w:sz w:val="24"/>
                <w:szCs w:val="24"/>
              </w:rPr>
              <w:t>The council to explore interventions that prevent young people from using and dealing drugs.</w:t>
            </w:r>
          </w:p>
        </w:tc>
        <w:tc>
          <w:tcPr>
            <w:tcW w:w="5044" w:type="dxa"/>
            <w:shd w:val="clear" w:color="auto" w:fill="auto"/>
          </w:tcPr>
          <w:p w14:paraId="6F293145" w14:textId="77777777" w:rsidR="008F582A" w:rsidRPr="008F582A" w:rsidRDefault="008F582A" w:rsidP="008F582A">
            <w:pPr>
              <w:rPr>
                <w:rFonts w:cs="Arial"/>
                <w:szCs w:val="24"/>
              </w:rPr>
            </w:pPr>
            <w:r w:rsidRPr="008F582A">
              <w:rPr>
                <w:rFonts w:cs="Arial"/>
                <w:szCs w:val="24"/>
              </w:rPr>
              <w:t>A conversation around possible interventions to prevent young people from using and dealing drugs has already started in the form of workshops with partners and the VCS. Discussions are also being led by a head teacher at Harrow High School looking at establishing a referral process for schools, building on the work already carried out in the Multi Agency Safeguarding Hub (MASH).</w:t>
            </w:r>
          </w:p>
          <w:p w14:paraId="28C6BF67" w14:textId="77777777" w:rsidR="008F582A" w:rsidRPr="008F582A" w:rsidRDefault="008F582A" w:rsidP="008F582A">
            <w:pPr>
              <w:rPr>
                <w:rFonts w:cs="Arial"/>
                <w:color w:val="0000FF"/>
                <w:szCs w:val="24"/>
              </w:rPr>
            </w:pPr>
          </w:p>
          <w:p w14:paraId="08B9A533" w14:textId="1282A4AD" w:rsidR="00630C17" w:rsidRPr="008F582A" w:rsidRDefault="00FF2D08" w:rsidP="008F582A">
            <w:pPr>
              <w:rPr>
                <w:rFonts w:cs="Arial"/>
                <w:szCs w:val="24"/>
              </w:rPr>
            </w:pPr>
            <w:r w:rsidRPr="008F582A">
              <w:rPr>
                <w:rFonts w:cs="Arial"/>
                <w:szCs w:val="24"/>
              </w:rPr>
              <w:t xml:space="preserve">The </w:t>
            </w:r>
            <w:r w:rsidR="008F582A" w:rsidRPr="008F582A">
              <w:rPr>
                <w:rFonts w:cs="Arial"/>
                <w:szCs w:val="24"/>
              </w:rPr>
              <w:t>Community Safety and Violence, Vulnerability and Exploitation</w:t>
            </w:r>
            <w:r w:rsidRPr="008F582A">
              <w:rPr>
                <w:rFonts w:cs="Arial"/>
                <w:szCs w:val="24"/>
              </w:rPr>
              <w:t xml:space="preserve"> </w:t>
            </w:r>
            <w:r w:rsidR="008F582A" w:rsidRPr="008F582A">
              <w:rPr>
                <w:rFonts w:cs="Arial"/>
                <w:szCs w:val="24"/>
              </w:rPr>
              <w:t>D</w:t>
            </w:r>
            <w:r w:rsidRPr="008F582A">
              <w:rPr>
                <w:rFonts w:cs="Arial"/>
                <w:szCs w:val="24"/>
              </w:rPr>
              <w:t xml:space="preserve">elivery </w:t>
            </w:r>
            <w:r w:rsidR="008F582A" w:rsidRPr="008F582A">
              <w:rPr>
                <w:rFonts w:cs="Arial"/>
                <w:szCs w:val="24"/>
              </w:rPr>
              <w:t>P</w:t>
            </w:r>
            <w:r w:rsidRPr="008F582A">
              <w:rPr>
                <w:rFonts w:cs="Arial"/>
                <w:szCs w:val="24"/>
              </w:rPr>
              <w:t xml:space="preserve">lan outlines a range of relevant </w:t>
            </w:r>
            <w:r w:rsidR="00630C17" w:rsidRPr="008F582A">
              <w:rPr>
                <w:rFonts w:cs="Arial"/>
                <w:szCs w:val="24"/>
              </w:rPr>
              <w:t>interv</w:t>
            </w:r>
            <w:r w:rsidR="008F582A">
              <w:rPr>
                <w:rFonts w:cs="Arial"/>
                <w:szCs w:val="24"/>
              </w:rPr>
              <w:t xml:space="preserve">entions, which </w:t>
            </w:r>
            <w:r w:rsidR="00630C17" w:rsidRPr="008F582A">
              <w:rPr>
                <w:rFonts w:cs="Arial"/>
                <w:szCs w:val="24"/>
              </w:rPr>
              <w:t xml:space="preserve">include: </w:t>
            </w:r>
          </w:p>
          <w:p w14:paraId="151BC085" w14:textId="77777777" w:rsidR="008F582A" w:rsidRPr="008F582A" w:rsidRDefault="008F582A" w:rsidP="008F582A">
            <w:pPr>
              <w:rPr>
                <w:rFonts w:cs="Arial"/>
                <w:szCs w:val="24"/>
              </w:rPr>
            </w:pPr>
          </w:p>
          <w:p w14:paraId="2B7D0546" w14:textId="1F52A4F4" w:rsidR="0057144B" w:rsidRPr="008F582A" w:rsidRDefault="008F582A" w:rsidP="008F582A">
            <w:pPr>
              <w:pStyle w:val="ListParagraph"/>
              <w:numPr>
                <w:ilvl w:val="0"/>
                <w:numId w:val="10"/>
              </w:numPr>
              <w:rPr>
                <w:rFonts w:cs="Arial"/>
                <w:szCs w:val="24"/>
              </w:rPr>
            </w:pPr>
            <w:r w:rsidRPr="008F582A">
              <w:rPr>
                <w:rFonts w:cs="Arial"/>
                <w:szCs w:val="24"/>
              </w:rPr>
              <w:t>H</w:t>
            </w:r>
            <w:r w:rsidR="00630C17" w:rsidRPr="008F582A">
              <w:rPr>
                <w:rFonts w:cs="Arial"/>
                <w:szCs w:val="24"/>
              </w:rPr>
              <w:t>aving workers from Compass (substance misuse service) within the YOT who carry out screening, training, 1:1 and group work with clients and provide skills training for practitioners</w:t>
            </w:r>
          </w:p>
          <w:p w14:paraId="5D699D36" w14:textId="77777777" w:rsidR="00630C17" w:rsidRPr="008F582A" w:rsidRDefault="00630C17" w:rsidP="008F582A">
            <w:pPr>
              <w:pStyle w:val="ListParagraph"/>
              <w:numPr>
                <w:ilvl w:val="0"/>
                <w:numId w:val="10"/>
              </w:numPr>
              <w:rPr>
                <w:rFonts w:cs="Arial"/>
                <w:szCs w:val="24"/>
              </w:rPr>
            </w:pPr>
            <w:r w:rsidRPr="008F582A">
              <w:rPr>
                <w:rFonts w:cs="Arial"/>
                <w:szCs w:val="24"/>
              </w:rPr>
              <w:t>Having a good relationship with Westminster Drugs Project, who provide interventions for those over 18 years.</w:t>
            </w:r>
          </w:p>
          <w:p w14:paraId="37C11309" w14:textId="77777777" w:rsidR="00630C17" w:rsidRPr="008F582A" w:rsidRDefault="00630C17" w:rsidP="008F582A">
            <w:pPr>
              <w:pStyle w:val="ListParagraph"/>
              <w:numPr>
                <w:ilvl w:val="0"/>
                <w:numId w:val="10"/>
              </w:numPr>
              <w:rPr>
                <w:rFonts w:cs="Arial"/>
                <w:szCs w:val="24"/>
              </w:rPr>
            </w:pPr>
            <w:r w:rsidRPr="008F582A">
              <w:rPr>
                <w:rFonts w:cs="Arial"/>
                <w:szCs w:val="24"/>
              </w:rPr>
              <w:lastRenderedPageBreak/>
              <w:t>Having an integrated Youth Offer to passport relevant young people into Youth services and programmes where they can enhance their decision making skills to build their resilience</w:t>
            </w:r>
          </w:p>
          <w:p w14:paraId="05C43FE1" w14:textId="48D9CC3F" w:rsidR="00630C17" w:rsidRPr="008F582A" w:rsidRDefault="00630C17" w:rsidP="008F582A">
            <w:pPr>
              <w:pStyle w:val="ListParagraph"/>
              <w:numPr>
                <w:ilvl w:val="0"/>
                <w:numId w:val="10"/>
              </w:numPr>
              <w:rPr>
                <w:rFonts w:cs="Arial"/>
                <w:szCs w:val="24"/>
              </w:rPr>
            </w:pPr>
            <w:r w:rsidRPr="008F582A">
              <w:rPr>
                <w:rFonts w:cs="Arial"/>
                <w:szCs w:val="24"/>
              </w:rPr>
              <w:t>Having skilled practitioners within the YOT who work 1:1 with young people who have admitted or been found guilty of relevant offences using evidenced based approaches to help them reduce their offending behaviour in future</w:t>
            </w:r>
          </w:p>
          <w:p w14:paraId="03FD8511" w14:textId="77777777" w:rsidR="00097BF4" w:rsidRPr="008F582A" w:rsidRDefault="00630C17" w:rsidP="008F582A">
            <w:pPr>
              <w:pStyle w:val="ListParagraph"/>
              <w:numPr>
                <w:ilvl w:val="0"/>
                <w:numId w:val="10"/>
              </w:numPr>
              <w:rPr>
                <w:rFonts w:cs="Arial"/>
                <w:szCs w:val="24"/>
              </w:rPr>
            </w:pPr>
            <w:r w:rsidRPr="008F582A">
              <w:rPr>
                <w:rFonts w:cs="Arial"/>
                <w:szCs w:val="24"/>
              </w:rPr>
              <w:t>Seeing children as vulnerable in the first instance and working with colleagues in social care to address social care vulnerabilities</w:t>
            </w:r>
          </w:p>
          <w:p w14:paraId="12335DE2" w14:textId="77777777" w:rsidR="008F582A" w:rsidRDefault="008F582A" w:rsidP="008F582A">
            <w:pPr>
              <w:rPr>
                <w:rFonts w:cs="Arial"/>
                <w:szCs w:val="24"/>
              </w:rPr>
            </w:pPr>
          </w:p>
          <w:p w14:paraId="303B79A0" w14:textId="2B951AD6" w:rsidR="00FD47C4" w:rsidRPr="008F582A" w:rsidRDefault="00097BF4" w:rsidP="008F582A">
            <w:pPr>
              <w:rPr>
                <w:rFonts w:cs="Arial"/>
                <w:szCs w:val="24"/>
              </w:rPr>
            </w:pPr>
            <w:r w:rsidRPr="008F582A">
              <w:rPr>
                <w:rFonts w:cs="Arial"/>
                <w:szCs w:val="24"/>
              </w:rPr>
              <w:t>(</w:t>
            </w:r>
            <w:r w:rsidR="008F582A">
              <w:rPr>
                <w:rFonts w:cs="Arial"/>
                <w:szCs w:val="24"/>
              </w:rPr>
              <w:t xml:space="preserve">Please </w:t>
            </w:r>
            <w:r w:rsidR="008F582A" w:rsidRPr="008F582A">
              <w:rPr>
                <w:rFonts w:cs="Arial"/>
                <w:szCs w:val="24"/>
              </w:rPr>
              <w:t xml:space="preserve">refer to </w:t>
            </w:r>
            <w:r w:rsidR="008F582A">
              <w:rPr>
                <w:rFonts w:cs="Arial"/>
                <w:szCs w:val="24"/>
              </w:rPr>
              <w:t xml:space="preserve">the </w:t>
            </w:r>
            <w:r w:rsidRPr="008F582A">
              <w:rPr>
                <w:rFonts w:cs="Arial"/>
                <w:szCs w:val="24"/>
              </w:rPr>
              <w:t xml:space="preserve">Harrow </w:t>
            </w:r>
            <w:r w:rsidR="008F582A" w:rsidRPr="008F582A">
              <w:rPr>
                <w:rFonts w:cs="Arial"/>
                <w:szCs w:val="24"/>
              </w:rPr>
              <w:t>Youth Justice</w:t>
            </w:r>
            <w:r w:rsidRPr="008F582A">
              <w:rPr>
                <w:rFonts w:cs="Arial"/>
                <w:szCs w:val="24"/>
              </w:rPr>
              <w:t xml:space="preserve"> Plan 2019/20, Page 9 and 30)</w:t>
            </w:r>
            <w:r w:rsidR="008F582A" w:rsidRPr="008F582A">
              <w:rPr>
                <w:rFonts w:cs="Arial"/>
                <w:szCs w:val="24"/>
              </w:rPr>
              <w:t>.</w:t>
            </w:r>
          </w:p>
        </w:tc>
      </w:tr>
      <w:tr w:rsidR="00FD47C4" w:rsidRPr="00817A40" w14:paraId="325FB27B" w14:textId="77777777" w:rsidTr="00084E2F">
        <w:trPr>
          <w:jc w:val="center"/>
        </w:trPr>
        <w:tc>
          <w:tcPr>
            <w:tcW w:w="429" w:type="dxa"/>
            <w:shd w:val="clear" w:color="auto" w:fill="auto"/>
          </w:tcPr>
          <w:p w14:paraId="628647EF" w14:textId="7689C055" w:rsidR="00FD47C4" w:rsidRPr="00817A40" w:rsidRDefault="00817A40" w:rsidP="00817A40">
            <w:pPr>
              <w:jc w:val="both"/>
              <w:rPr>
                <w:rFonts w:cs="Arial"/>
                <w:szCs w:val="24"/>
              </w:rPr>
            </w:pPr>
            <w:r w:rsidRPr="00817A40">
              <w:rPr>
                <w:rFonts w:cs="Arial"/>
                <w:szCs w:val="24"/>
              </w:rPr>
              <w:lastRenderedPageBreak/>
              <w:t>4.</w:t>
            </w:r>
          </w:p>
        </w:tc>
        <w:tc>
          <w:tcPr>
            <w:tcW w:w="3409" w:type="dxa"/>
            <w:shd w:val="clear" w:color="auto" w:fill="auto"/>
          </w:tcPr>
          <w:p w14:paraId="54827FDA" w14:textId="2B68F089" w:rsidR="00FD47C4" w:rsidRPr="00817A40" w:rsidRDefault="00817A40" w:rsidP="008F582A">
            <w:pPr>
              <w:pStyle w:val="NoSpacing"/>
              <w:rPr>
                <w:rFonts w:ascii="Arial" w:hAnsi="Arial" w:cs="Arial"/>
                <w:sz w:val="24"/>
                <w:szCs w:val="24"/>
              </w:rPr>
            </w:pPr>
            <w:r w:rsidRPr="00817A40">
              <w:rPr>
                <w:rFonts w:ascii="Arial" w:hAnsi="Arial" w:cs="Arial"/>
                <w:sz w:val="24"/>
                <w:szCs w:val="24"/>
              </w:rPr>
              <w:t>Harrow Council explores the use of early intervention programmes in year 6 of primary schools</w:t>
            </w:r>
          </w:p>
        </w:tc>
        <w:tc>
          <w:tcPr>
            <w:tcW w:w="5044" w:type="dxa"/>
            <w:shd w:val="clear" w:color="auto" w:fill="auto"/>
          </w:tcPr>
          <w:p w14:paraId="28B598F7" w14:textId="1C7ACF31" w:rsidR="00097BF4" w:rsidRPr="008F582A" w:rsidRDefault="00097BF4" w:rsidP="008F582A">
            <w:pPr>
              <w:rPr>
                <w:rFonts w:cs="Arial"/>
                <w:szCs w:val="24"/>
              </w:rPr>
            </w:pPr>
            <w:r w:rsidRPr="008F582A">
              <w:rPr>
                <w:rFonts w:cs="Arial"/>
                <w:szCs w:val="24"/>
              </w:rPr>
              <w:t>The Early Support Service has a well embedded Schools engagement programme and every school now has a named contact within the service. Each school is contacted and offered a tailor made early intervention programme. Primary Schools often want support regarding offering school based parenting support and support with transition.</w:t>
            </w:r>
            <w:r w:rsidR="001C4842" w:rsidRPr="008F582A">
              <w:rPr>
                <w:rFonts w:cs="Arial"/>
                <w:szCs w:val="24"/>
              </w:rPr>
              <w:t xml:space="preserve"> About 75% of schools have taken up the Early Support Offer in some way.</w:t>
            </w:r>
            <w:r w:rsidRPr="008F582A">
              <w:rPr>
                <w:rFonts w:cs="Arial"/>
                <w:szCs w:val="24"/>
              </w:rPr>
              <w:t xml:space="preserve"> Secondary schools have requested </w:t>
            </w:r>
            <w:r w:rsidR="001C4842" w:rsidRPr="008F582A">
              <w:rPr>
                <w:rFonts w:cs="Arial"/>
                <w:szCs w:val="24"/>
              </w:rPr>
              <w:t>“mental toughness/resilience building courses” and demand is currently outstripping supply so we are currently training other practitioners to deliver these programmes. The Early Support Service will look to develop it’s school offer to include work specifically aimed at Year 6 and particularly around vulnerable young people. This wil</w:t>
            </w:r>
            <w:r w:rsidR="008F582A" w:rsidRPr="008F582A">
              <w:rPr>
                <w:rFonts w:cs="Arial"/>
                <w:szCs w:val="24"/>
              </w:rPr>
              <w:t>l</w:t>
            </w:r>
            <w:r w:rsidR="001C4842" w:rsidRPr="008F582A">
              <w:rPr>
                <w:rFonts w:cs="Arial"/>
                <w:szCs w:val="24"/>
              </w:rPr>
              <w:t xml:space="preserve"> then form part of the standard offer to schools to take up</w:t>
            </w:r>
            <w:r w:rsidRPr="008F582A">
              <w:rPr>
                <w:rFonts w:cs="Arial"/>
                <w:szCs w:val="24"/>
              </w:rPr>
              <w:t xml:space="preserve">.  </w:t>
            </w:r>
          </w:p>
          <w:p w14:paraId="34339E61" w14:textId="77777777" w:rsidR="003B3D85" w:rsidRPr="008F582A" w:rsidRDefault="003B3D85" w:rsidP="008F582A">
            <w:pPr>
              <w:rPr>
                <w:rFonts w:cs="Arial"/>
                <w:szCs w:val="24"/>
              </w:rPr>
            </w:pPr>
          </w:p>
          <w:p w14:paraId="2D6FBAD8" w14:textId="66522A7D" w:rsidR="003B3D85" w:rsidRPr="008F582A" w:rsidRDefault="003B3D85" w:rsidP="008F582A">
            <w:pPr>
              <w:rPr>
                <w:rFonts w:cs="Arial"/>
                <w:szCs w:val="24"/>
              </w:rPr>
            </w:pPr>
            <w:r w:rsidRPr="008F582A">
              <w:rPr>
                <w:rFonts w:cs="Arial"/>
                <w:szCs w:val="24"/>
              </w:rPr>
              <w:t>In addition to this Harrow’s partnership are exploring a number of avenues to fund an early intervention programme specifically aimed at children aged 10, who are in year 6. This programme will aim to help young people transition from primary school to secondary at a crucial time, where young people are faced with significant life changes.</w:t>
            </w:r>
          </w:p>
        </w:tc>
      </w:tr>
    </w:tbl>
    <w:p w14:paraId="524CFB09" w14:textId="44BD2EB4" w:rsidR="002F388D" w:rsidRDefault="002F388D" w:rsidP="001C7E35">
      <w:pPr>
        <w:pStyle w:val="Heading2"/>
      </w:pPr>
    </w:p>
    <w:p w14:paraId="32750088" w14:textId="02B2A1EC" w:rsidR="001C7E35" w:rsidRPr="006231AA" w:rsidRDefault="001C7E35" w:rsidP="001C7E35">
      <w:pPr>
        <w:pStyle w:val="Heading2"/>
        <w:rPr>
          <w:color w:val="FF0000"/>
        </w:rPr>
      </w:pPr>
      <w:r>
        <w:lastRenderedPageBreak/>
        <w:t>Options considered</w:t>
      </w:r>
      <w:r>
        <w:rPr>
          <w:color w:val="FF0000"/>
        </w:rPr>
        <w:t xml:space="preserve"> </w:t>
      </w:r>
    </w:p>
    <w:p w14:paraId="4DA233C0" w14:textId="77777777" w:rsidR="001C7E35" w:rsidRDefault="001C7E35" w:rsidP="00333FAA"/>
    <w:p w14:paraId="62A83E7D" w14:textId="77777777" w:rsidR="00307F76" w:rsidRDefault="00307F76" w:rsidP="0054590F">
      <w:pPr>
        <w:rPr>
          <w:b/>
        </w:rPr>
      </w:pPr>
      <w:r w:rsidRPr="00307F76">
        <w:rPr>
          <w:b/>
        </w:rPr>
        <w:t xml:space="preserve">Ward Councillors’ comments </w:t>
      </w:r>
    </w:p>
    <w:p w14:paraId="6B723745" w14:textId="77777777" w:rsidR="00955421" w:rsidRPr="00307F76" w:rsidRDefault="00955421" w:rsidP="0054590F">
      <w:pPr>
        <w:rPr>
          <w:b/>
        </w:rPr>
      </w:pPr>
    </w:p>
    <w:p w14:paraId="17BF478F" w14:textId="77777777" w:rsidR="00333FAA" w:rsidRDefault="00333FAA" w:rsidP="0054590F">
      <w:pPr>
        <w:pStyle w:val="Heading4"/>
        <w:tabs>
          <w:tab w:val="left" w:pos="3600"/>
        </w:tabs>
        <w:rPr>
          <w:color w:val="0000FF"/>
          <w:szCs w:val="24"/>
        </w:rPr>
      </w:pPr>
      <w:r w:rsidRPr="00333FAA">
        <w:rPr>
          <w:color w:val="0000FF"/>
          <w:szCs w:val="24"/>
        </w:rPr>
        <w:t>Performance Issues</w:t>
      </w:r>
      <w:r w:rsidR="001C7E35">
        <w:rPr>
          <w:color w:val="0000FF"/>
          <w:szCs w:val="24"/>
        </w:rPr>
        <w:tab/>
      </w:r>
    </w:p>
    <w:p w14:paraId="2028E53C" w14:textId="77777777" w:rsidR="00714BEE" w:rsidRDefault="00714BEE" w:rsidP="001C7E35">
      <w:pPr>
        <w:tabs>
          <w:tab w:val="left" w:pos="7245"/>
        </w:tabs>
        <w:rPr>
          <w:i/>
          <w:color w:val="0000FF"/>
        </w:rPr>
      </w:pPr>
    </w:p>
    <w:p w14:paraId="5BEEEFAF" w14:textId="77777777" w:rsidR="00382E42" w:rsidRDefault="00382E42" w:rsidP="00382E42">
      <w:r>
        <w:t>There are no performance issues impacted.</w:t>
      </w:r>
    </w:p>
    <w:p w14:paraId="786DF1F3" w14:textId="77777777" w:rsidR="0054590F" w:rsidRDefault="0054590F" w:rsidP="001C7E35">
      <w:pPr>
        <w:tabs>
          <w:tab w:val="left" w:pos="7245"/>
        </w:tabs>
      </w:pPr>
    </w:p>
    <w:p w14:paraId="2CE7EE44" w14:textId="77777777" w:rsidR="00333FAA" w:rsidRDefault="00333FAA" w:rsidP="0054590F">
      <w:pPr>
        <w:pStyle w:val="Heading4"/>
        <w:rPr>
          <w:color w:val="0000FF"/>
          <w:szCs w:val="24"/>
        </w:rPr>
      </w:pPr>
      <w:r w:rsidRPr="00333FAA">
        <w:rPr>
          <w:color w:val="0000FF"/>
          <w:szCs w:val="24"/>
        </w:rPr>
        <w:t>Environmental Implications</w:t>
      </w:r>
    </w:p>
    <w:p w14:paraId="58AC6B43" w14:textId="77777777" w:rsidR="000929A6" w:rsidRDefault="000929A6" w:rsidP="001C7E35">
      <w:pPr>
        <w:rPr>
          <w:i/>
          <w:color w:val="0000FF"/>
        </w:rPr>
      </w:pPr>
    </w:p>
    <w:p w14:paraId="699BCAE5" w14:textId="77777777" w:rsidR="00382E42" w:rsidRDefault="00382E42" w:rsidP="00382E42">
      <w:pPr>
        <w:keepNext/>
        <w:rPr>
          <w:b/>
        </w:rPr>
      </w:pPr>
      <w:r w:rsidRPr="00CC41F5">
        <w:t>There are no environmental impacts.</w:t>
      </w:r>
    </w:p>
    <w:p w14:paraId="18C3A011" w14:textId="77777777" w:rsidR="00B1160D" w:rsidRDefault="00B1160D" w:rsidP="001C7E35"/>
    <w:p w14:paraId="23E05CBB" w14:textId="77777777" w:rsidR="002A3FEF" w:rsidRDefault="002A3FEF" w:rsidP="002A3FEF">
      <w:pPr>
        <w:pStyle w:val="Heading4"/>
        <w:rPr>
          <w:color w:val="0000FF"/>
          <w:szCs w:val="24"/>
        </w:rPr>
      </w:pPr>
      <w:r>
        <w:rPr>
          <w:color w:val="0000FF"/>
          <w:szCs w:val="24"/>
        </w:rPr>
        <w:t>Dat</w:t>
      </w:r>
      <w:r w:rsidR="00DE72CF">
        <w:rPr>
          <w:color w:val="0000FF"/>
          <w:szCs w:val="24"/>
        </w:rPr>
        <w:t>a</w:t>
      </w:r>
      <w:r>
        <w:rPr>
          <w:color w:val="0000FF"/>
          <w:szCs w:val="24"/>
        </w:rPr>
        <w:t xml:space="preserve"> Protection</w:t>
      </w:r>
      <w:r w:rsidRPr="00333FAA">
        <w:rPr>
          <w:color w:val="0000FF"/>
          <w:szCs w:val="24"/>
        </w:rPr>
        <w:t xml:space="preserve"> Implications</w:t>
      </w:r>
    </w:p>
    <w:p w14:paraId="71524061" w14:textId="77777777" w:rsidR="002A3FEF" w:rsidRPr="00382E42" w:rsidRDefault="002A3FEF" w:rsidP="001C7E35"/>
    <w:p w14:paraId="1D8BF133" w14:textId="79C9696A" w:rsidR="002A3FEF" w:rsidRPr="00E42DF8" w:rsidRDefault="00A81E19" w:rsidP="00E42DF8">
      <w:pPr>
        <w:pStyle w:val="Heading2"/>
      </w:pPr>
      <w:r>
        <w:t>Risk Management Implications</w:t>
      </w:r>
    </w:p>
    <w:p w14:paraId="1CB0F9FC" w14:textId="77777777" w:rsidR="00A81E19" w:rsidRPr="00A81E19" w:rsidRDefault="00A81E19" w:rsidP="00A81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421A4C" w14:paraId="3DF673A5" w14:textId="77777777" w:rsidTr="005D548F">
        <w:tc>
          <w:tcPr>
            <w:tcW w:w="8525" w:type="dxa"/>
            <w:shd w:val="clear" w:color="auto" w:fill="auto"/>
          </w:tcPr>
          <w:p w14:paraId="0E30748A" w14:textId="77777777" w:rsidR="00E42DF8" w:rsidRPr="00D4068D" w:rsidRDefault="00E42DF8" w:rsidP="00E42DF8">
            <w:pPr>
              <w:tabs>
                <w:tab w:val="left" w:pos="5610"/>
              </w:tabs>
              <w:ind w:right="81"/>
              <w:rPr>
                <w:rFonts w:cs="Arial"/>
                <w:szCs w:val="24"/>
                <w:lang w:val="en-US"/>
              </w:rPr>
            </w:pPr>
            <w:r w:rsidRPr="00D4068D">
              <w:rPr>
                <w:rFonts w:cs="Arial"/>
                <w:szCs w:val="24"/>
                <w:lang w:val="en-US"/>
              </w:rPr>
              <w:t>Risk included on Directorate risk register?  No</w:t>
            </w:r>
            <w:r w:rsidRPr="00D4068D">
              <w:rPr>
                <w:rFonts w:cs="Arial"/>
                <w:szCs w:val="24"/>
                <w:lang w:val="en-US"/>
              </w:rPr>
              <w:tab/>
            </w:r>
          </w:p>
          <w:p w14:paraId="73F39DF5" w14:textId="77777777" w:rsidR="00E42DF8" w:rsidRDefault="00E42DF8" w:rsidP="00E42DF8">
            <w:pPr>
              <w:tabs>
                <w:tab w:val="left" w:pos="5610"/>
              </w:tabs>
              <w:ind w:right="81"/>
              <w:rPr>
                <w:rFonts w:cs="Arial"/>
                <w:szCs w:val="24"/>
                <w:lang w:val="en-US"/>
              </w:rPr>
            </w:pPr>
          </w:p>
          <w:p w14:paraId="431AD6D3" w14:textId="63FFB950" w:rsidR="00307F76" w:rsidRPr="00A23E19" w:rsidRDefault="00E42DF8" w:rsidP="00E42DF8">
            <w:pPr>
              <w:rPr>
                <w:b/>
              </w:rPr>
            </w:pPr>
            <w:r w:rsidRPr="00E42DF8">
              <w:rPr>
                <w:rFonts w:cs="Arial"/>
                <w:szCs w:val="24"/>
                <w:lang w:val="en-US" w:eastAsia="en-GB"/>
              </w:rPr>
              <w:t>Separate risk register in place?  No</w:t>
            </w:r>
          </w:p>
          <w:p w14:paraId="77B03537" w14:textId="77777777" w:rsidR="00307F76" w:rsidRPr="00307F76" w:rsidRDefault="00307F76" w:rsidP="00307F76"/>
        </w:tc>
      </w:tr>
    </w:tbl>
    <w:p w14:paraId="32BF53BD" w14:textId="77777777" w:rsidR="00A81E19" w:rsidRDefault="00A81E19" w:rsidP="00A81E19">
      <w:pPr>
        <w:ind w:right="141"/>
        <w:rPr>
          <w:rFonts w:cs="Arial"/>
          <w:szCs w:val="24"/>
          <w:lang w:val="en-US" w:eastAsia="en-GB"/>
        </w:rPr>
      </w:pPr>
    </w:p>
    <w:p w14:paraId="70FC487B" w14:textId="77777777" w:rsidR="002A3FEF" w:rsidRDefault="002A3FEF" w:rsidP="002A3FEF">
      <w:pPr>
        <w:pStyle w:val="Heading2"/>
      </w:pPr>
      <w:r>
        <w:t xml:space="preserve">Procurement Implications </w:t>
      </w:r>
    </w:p>
    <w:p w14:paraId="19759A2F" w14:textId="77777777" w:rsidR="002A3FEF" w:rsidRPr="002A3FEF" w:rsidRDefault="002A3FEF" w:rsidP="002A3FEF"/>
    <w:p w14:paraId="3A771D5B" w14:textId="53D1E112" w:rsidR="00441C6B" w:rsidRDefault="00441C6B" w:rsidP="002A3FEF">
      <w:pPr>
        <w:pBdr>
          <w:top w:val="single" w:sz="4" w:space="1" w:color="auto"/>
          <w:left w:val="single" w:sz="4" w:space="4" w:color="auto"/>
          <w:bottom w:val="single" w:sz="4" w:space="1" w:color="auto"/>
          <w:right w:val="single" w:sz="4" w:space="4" w:color="auto"/>
        </w:pBdr>
        <w:rPr>
          <w:b/>
          <w:color w:val="000000" w:themeColor="text1"/>
        </w:rPr>
      </w:pPr>
      <w:r w:rsidRPr="00441C6B">
        <w:rPr>
          <w:b/>
          <w:color w:val="000000" w:themeColor="text1"/>
        </w:rPr>
        <w:t xml:space="preserve">There are no </w:t>
      </w:r>
      <w:r>
        <w:rPr>
          <w:b/>
          <w:color w:val="000000" w:themeColor="text1"/>
        </w:rPr>
        <w:t>procurement</w:t>
      </w:r>
      <w:r w:rsidRPr="00441C6B">
        <w:rPr>
          <w:b/>
          <w:color w:val="000000" w:themeColor="text1"/>
        </w:rPr>
        <w:t xml:space="preserve"> implications.</w:t>
      </w:r>
    </w:p>
    <w:p w14:paraId="59B0089A" w14:textId="77777777" w:rsidR="002A3FEF" w:rsidRDefault="002A3FEF" w:rsidP="00333FAA">
      <w:pPr>
        <w:pStyle w:val="Heading2"/>
      </w:pPr>
    </w:p>
    <w:p w14:paraId="5146E811" w14:textId="77777777" w:rsidR="00333FAA" w:rsidRDefault="00333FAA" w:rsidP="00333FAA">
      <w:pPr>
        <w:pStyle w:val="Heading2"/>
      </w:pPr>
      <w:r>
        <w:t>Legal Implications</w:t>
      </w:r>
    </w:p>
    <w:p w14:paraId="2841B223" w14:textId="77777777"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14:paraId="08056F84" w14:textId="77777777" w:rsidTr="00421A4C">
        <w:tc>
          <w:tcPr>
            <w:tcW w:w="8525" w:type="dxa"/>
            <w:shd w:val="clear" w:color="auto" w:fill="auto"/>
          </w:tcPr>
          <w:p w14:paraId="7B5BBA02" w14:textId="19FA8299" w:rsidR="0054590F" w:rsidRPr="00421A4C" w:rsidRDefault="0054590F" w:rsidP="00F93C8B">
            <w:pPr>
              <w:pStyle w:val="Heading4"/>
              <w:keepNext w:val="0"/>
              <w:rPr>
                <w:b w:val="0"/>
                <w:color w:val="0000FF"/>
              </w:rPr>
            </w:pPr>
            <w:r w:rsidRPr="00421A4C">
              <w:rPr>
                <w:b w:val="0"/>
              </w:rPr>
              <w:t>.</w:t>
            </w:r>
            <w:r w:rsidRPr="00421A4C">
              <w:rPr>
                <w:b w:val="0"/>
                <w:color w:val="0000FF"/>
              </w:rPr>
              <w:t xml:space="preserve"> </w:t>
            </w:r>
          </w:p>
          <w:p w14:paraId="597364C6" w14:textId="4E0B051B" w:rsidR="00F5649A" w:rsidRDefault="00F5649A" w:rsidP="004A4535">
            <w:pPr>
              <w:rPr>
                <w:b/>
                <w:color w:val="FF0000"/>
              </w:rPr>
            </w:pPr>
          </w:p>
          <w:p w14:paraId="35B456B7" w14:textId="77777777" w:rsidR="00441C6B" w:rsidRDefault="00441C6B" w:rsidP="00441C6B"/>
          <w:p w14:paraId="626F88E3" w14:textId="6BE36792" w:rsidR="00441C6B" w:rsidRPr="00441C6B" w:rsidRDefault="00441C6B" w:rsidP="00441C6B">
            <w:pPr>
              <w:rPr>
                <w:b/>
              </w:rPr>
            </w:pPr>
            <w:r w:rsidRPr="00441C6B">
              <w:rPr>
                <w:b/>
              </w:rPr>
              <w:t>There are no legal implications.</w:t>
            </w:r>
          </w:p>
          <w:p w14:paraId="5A83A95E" w14:textId="77777777" w:rsidR="00441C6B" w:rsidRPr="00441C6B" w:rsidRDefault="00441C6B" w:rsidP="00441C6B"/>
        </w:tc>
      </w:tr>
    </w:tbl>
    <w:p w14:paraId="5393D1CD" w14:textId="77777777" w:rsidR="0054590F" w:rsidRDefault="0054590F" w:rsidP="001C7E35">
      <w:pPr>
        <w:pStyle w:val="Heading4"/>
        <w:rPr>
          <w:b w:val="0"/>
        </w:rPr>
      </w:pPr>
    </w:p>
    <w:p w14:paraId="68E47DD0" w14:textId="77777777" w:rsidR="001C7E35" w:rsidRPr="001C7E35" w:rsidRDefault="001C7E35" w:rsidP="001C7E35"/>
    <w:p w14:paraId="20BB7453" w14:textId="77777777" w:rsidR="00333FAA" w:rsidRDefault="00333FAA" w:rsidP="00333FAA">
      <w:pPr>
        <w:pStyle w:val="Heading2"/>
      </w:pPr>
      <w:r>
        <w:t>Financial Implications</w:t>
      </w:r>
    </w:p>
    <w:p w14:paraId="526A4CDF" w14:textId="77777777"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25A34241" w14:textId="77777777" w:rsidTr="00421A4C">
        <w:tc>
          <w:tcPr>
            <w:tcW w:w="8525" w:type="dxa"/>
            <w:shd w:val="clear" w:color="auto" w:fill="auto"/>
          </w:tcPr>
          <w:p w14:paraId="2E70C03A" w14:textId="77777777" w:rsidR="0054590F" w:rsidRDefault="0054590F" w:rsidP="0054590F"/>
          <w:p w14:paraId="532FA527" w14:textId="77777777" w:rsidR="00441C6B" w:rsidRDefault="00441C6B" w:rsidP="001C7E35">
            <w:pPr>
              <w:rPr>
                <w:b/>
              </w:rPr>
            </w:pPr>
            <w:r w:rsidRPr="00441C6B">
              <w:rPr>
                <w:b/>
              </w:rPr>
              <w:t>There are no financial implications.</w:t>
            </w:r>
          </w:p>
          <w:p w14:paraId="1802271D" w14:textId="127FFD93" w:rsidR="00441C6B" w:rsidRPr="00441C6B" w:rsidRDefault="00441C6B" w:rsidP="001C7E35">
            <w:pPr>
              <w:rPr>
                <w:b/>
              </w:rPr>
            </w:pPr>
          </w:p>
        </w:tc>
      </w:tr>
    </w:tbl>
    <w:p w14:paraId="03316C5E" w14:textId="77777777" w:rsidR="001C7E35" w:rsidRDefault="001C7E35" w:rsidP="001C7E35">
      <w:pPr>
        <w:pStyle w:val="Heading2"/>
      </w:pPr>
    </w:p>
    <w:p w14:paraId="1A1700D5"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7F87A513" w14:textId="77777777" w:rsidR="00382E42" w:rsidRDefault="00382E42" w:rsidP="00382E42">
      <w:pPr>
        <w:keepNext/>
      </w:pPr>
    </w:p>
    <w:p w14:paraId="11D4B581" w14:textId="77777777" w:rsidR="00382E42" w:rsidRDefault="00382E42" w:rsidP="00382E42">
      <w:r>
        <w:t xml:space="preserve">An EqIA was not carried out specifically for this report as it includes no proposals for service change.  Where changes result from the acceptance of these reports recommendations, these will be accompanied by an EqIA. </w:t>
      </w:r>
    </w:p>
    <w:p w14:paraId="2843C30C" w14:textId="77777777" w:rsidR="00FE17E2" w:rsidRDefault="00FE17E2" w:rsidP="001966D7"/>
    <w:p w14:paraId="4A9E6B24"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3A811E5E" w14:textId="77777777" w:rsidR="00333FAA" w:rsidRDefault="00333FAA" w:rsidP="00333FAA"/>
    <w:p w14:paraId="0676D145"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174704BB" w14:textId="77777777" w:rsidR="001966D7" w:rsidRDefault="001966D7" w:rsidP="001966D7"/>
    <w:p w14:paraId="1A8D4A69" w14:textId="77777777" w:rsidR="00382E42" w:rsidRPr="00930C42" w:rsidRDefault="00382E42" w:rsidP="00630C17">
      <w:pPr>
        <w:pStyle w:val="ListParagraph"/>
        <w:numPr>
          <w:ilvl w:val="0"/>
          <w:numId w:val="5"/>
        </w:numPr>
        <w:autoSpaceDE w:val="0"/>
        <w:autoSpaceDN w:val="0"/>
        <w:contextualSpacing/>
        <w:rPr>
          <w:b/>
          <w:bCs/>
        </w:rPr>
      </w:pPr>
      <w:r w:rsidRPr="00930C42">
        <w:rPr>
          <w:b/>
          <w:bCs/>
        </w:rPr>
        <w:lastRenderedPageBreak/>
        <w:t>Supporting Those Most in Need</w:t>
      </w:r>
    </w:p>
    <w:p w14:paraId="396C54C5" w14:textId="77777777" w:rsidR="00382E42" w:rsidRPr="00930C42" w:rsidRDefault="00382E42" w:rsidP="00630C17">
      <w:pPr>
        <w:pStyle w:val="ListParagraph"/>
        <w:numPr>
          <w:ilvl w:val="0"/>
          <w:numId w:val="6"/>
        </w:numPr>
        <w:autoSpaceDE w:val="0"/>
        <w:autoSpaceDN w:val="0"/>
        <w:contextualSpacing/>
      </w:pPr>
      <w:r w:rsidRPr="00930C42">
        <w:t>Reduce levels of homelessness in the borough</w:t>
      </w:r>
    </w:p>
    <w:p w14:paraId="0BFCCD01" w14:textId="77777777" w:rsidR="00382E42" w:rsidRPr="00930C42" w:rsidRDefault="00382E42" w:rsidP="00630C17">
      <w:pPr>
        <w:pStyle w:val="ListParagraph"/>
        <w:numPr>
          <w:ilvl w:val="0"/>
          <w:numId w:val="6"/>
        </w:numPr>
        <w:autoSpaceDE w:val="0"/>
        <w:autoSpaceDN w:val="0"/>
        <w:contextualSpacing/>
      </w:pPr>
      <w:r w:rsidRPr="00930C42">
        <w:t>Empower residents to maintain their well-being and independence</w:t>
      </w:r>
    </w:p>
    <w:p w14:paraId="7C51651E" w14:textId="77777777" w:rsidR="00382E42" w:rsidRPr="00930C42" w:rsidRDefault="00382E42" w:rsidP="00630C17">
      <w:pPr>
        <w:pStyle w:val="ListParagraph"/>
        <w:numPr>
          <w:ilvl w:val="0"/>
          <w:numId w:val="6"/>
        </w:numPr>
        <w:autoSpaceDE w:val="0"/>
        <w:autoSpaceDN w:val="0"/>
        <w:contextualSpacing/>
      </w:pPr>
      <w:r w:rsidRPr="00930C42">
        <w:t>Children and young people are given the opportunities to have the best start in life and families can thrive</w:t>
      </w:r>
    </w:p>
    <w:p w14:paraId="59A13438" w14:textId="77777777" w:rsidR="00382E42" w:rsidRPr="00930C42" w:rsidRDefault="00382E42" w:rsidP="00630C17">
      <w:pPr>
        <w:pStyle w:val="ListParagraph"/>
        <w:numPr>
          <w:ilvl w:val="0"/>
          <w:numId w:val="6"/>
        </w:numPr>
        <w:autoSpaceDE w:val="0"/>
        <w:autoSpaceDN w:val="0"/>
        <w:contextualSpacing/>
      </w:pPr>
      <w:r w:rsidRPr="00930C42">
        <w:t>Reduce the gap in life expectancy in the borough</w:t>
      </w:r>
    </w:p>
    <w:p w14:paraId="185D4002" w14:textId="77777777" w:rsidR="00307F76" w:rsidRPr="00F22C98" w:rsidRDefault="00307F76" w:rsidP="00307F76"/>
    <w:p w14:paraId="16BAB743" w14:textId="77777777" w:rsidR="00333FAA" w:rsidRDefault="00333FAA" w:rsidP="00333FAA">
      <w:pPr>
        <w:pStyle w:val="Heading1"/>
        <w:keepNext/>
      </w:pPr>
      <w:r>
        <w:t>Section 3 - Statutory Officer Clearance</w:t>
      </w:r>
    </w:p>
    <w:p w14:paraId="14154F39"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383"/>
        <w:gridCol w:w="234"/>
        <w:gridCol w:w="3570"/>
      </w:tblGrid>
      <w:tr w:rsidR="00435B5D" w14:paraId="19054D90" w14:textId="77777777" w:rsidTr="004F54BD">
        <w:tc>
          <w:tcPr>
            <w:tcW w:w="4752" w:type="dxa"/>
            <w:tcBorders>
              <w:bottom w:val="nil"/>
              <w:right w:val="nil"/>
            </w:tcBorders>
          </w:tcPr>
          <w:p w14:paraId="108CF4EF" w14:textId="77777777" w:rsidR="00435B5D" w:rsidRDefault="00435B5D" w:rsidP="004F54BD">
            <w:pPr>
              <w:pStyle w:val="Infotext"/>
            </w:pPr>
          </w:p>
          <w:p w14:paraId="0A9D2349" w14:textId="77777777" w:rsidR="00435B5D" w:rsidRDefault="00435B5D" w:rsidP="004F54BD">
            <w:pPr>
              <w:pStyle w:val="Infotext"/>
            </w:pPr>
          </w:p>
        </w:tc>
        <w:tc>
          <w:tcPr>
            <w:tcW w:w="387" w:type="dxa"/>
            <w:tcBorders>
              <w:left w:val="nil"/>
              <w:right w:val="nil"/>
            </w:tcBorders>
          </w:tcPr>
          <w:p w14:paraId="495F4C4F" w14:textId="77777777" w:rsidR="00435B5D" w:rsidRDefault="00435B5D" w:rsidP="004F54BD">
            <w:pPr>
              <w:pStyle w:val="Infotext"/>
            </w:pPr>
          </w:p>
        </w:tc>
        <w:tc>
          <w:tcPr>
            <w:tcW w:w="236" w:type="dxa"/>
            <w:tcBorders>
              <w:left w:val="nil"/>
              <w:bottom w:val="nil"/>
              <w:right w:val="nil"/>
            </w:tcBorders>
          </w:tcPr>
          <w:p w14:paraId="67FF53A8" w14:textId="77777777" w:rsidR="00435B5D" w:rsidRDefault="00435B5D" w:rsidP="004F54BD">
            <w:pPr>
              <w:pStyle w:val="Infotext"/>
            </w:pPr>
          </w:p>
        </w:tc>
        <w:tc>
          <w:tcPr>
            <w:tcW w:w="3890" w:type="dxa"/>
            <w:tcBorders>
              <w:left w:val="nil"/>
              <w:bottom w:val="nil"/>
            </w:tcBorders>
          </w:tcPr>
          <w:p w14:paraId="49392F85" w14:textId="77777777" w:rsidR="00435B5D" w:rsidRDefault="00435B5D" w:rsidP="004F54BD">
            <w:pPr>
              <w:pStyle w:val="Infotext"/>
            </w:pPr>
          </w:p>
          <w:p w14:paraId="31E0D2D7" w14:textId="77777777" w:rsidR="00435B5D" w:rsidRDefault="00435B5D" w:rsidP="004F54BD">
            <w:pPr>
              <w:pStyle w:val="Infotext"/>
            </w:pPr>
          </w:p>
        </w:tc>
      </w:tr>
      <w:tr w:rsidR="00435B5D" w14:paraId="08E807E7" w14:textId="77777777" w:rsidTr="004F54BD">
        <w:tc>
          <w:tcPr>
            <w:tcW w:w="4752" w:type="dxa"/>
            <w:tcBorders>
              <w:top w:val="nil"/>
              <w:bottom w:val="nil"/>
            </w:tcBorders>
          </w:tcPr>
          <w:p w14:paraId="7B7D3D6A" w14:textId="77777777" w:rsidR="00435B5D" w:rsidRDefault="00435B5D" w:rsidP="00A20D78">
            <w:pPr>
              <w:pStyle w:val="Infotext"/>
            </w:pPr>
            <w:r>
              <w:t xml:space="preserve">Name: </w:t>
            </w:r>
            <w:r w:rsidR="00A20D78">
              <w:t xml:space="preserve"> </w:t>
            </w:r>
            <w:r w:rsidR="00382E42">
              <w:t>Paul Hewitt</w:t>
            </w:r>
          </w:p>
        </w:tc>
        <w:tc>
          <w:tcPr>
            <w:tcW w:w="387" w:type="dxa"/>
            <w:tcBorders>
              <w:bottom w:val="single" w:sz="4" w:space="0" w:color="auto"/>
            </w:tcBorders>
          </w:tcPr>
          <w:p w14:paraId="0EA9FCE1" w14:textId="77777777" w:rsidR="00435B5D" w:rsidRDefault="00382E42" w:rsidP="004F54BD">
            <w:pPr>
              <w:pStyle w:val="Infotext"/>
            </w:pPr>
            <w:r>
              <w:t>x</w:t>
            </w:r>
          </w:p>
        </w:tc>
        <w:tc>
          <w:tcPr>
            <w:tcW w:w="236" w:type="dxa"/>
            <w:tcBorders>
              <w:top w:val="nil"/>
              <w:bottom w:val="nil"/>
              <w:right w:val="nil"/>
            </w:tcBorders>
          </w:tcPr>
          <w:p w14:paraId="2A56F079" w14:textId="77777777" w:rsidR="00435B5D" w:rsidRDefault="00435B5D" w:rsidP="004F54BD">
            <w:pPr>
              <w:pStyle w:val="Infotext"/>
            </w:pPr>
          </w:p>
        </w:tc>
        <w:tc>
          <w:tcPr>
            <w:tcW w:w="3890" w:type="dxa"/>
            <w:tcBorders>
              <w:top w:val="nil"/>
              <w:left w:val="nil"/>
              <w:bottom w:val="nil"/>
            </w:tcBorders>
          </w:tcPr>
          <w:p w14:paraId="6454164A" w14:textId="77777777" w:rsidR="00435B5D" w:rsidRDefault="00435B5D" w:rsidP="004F54BD">
            <w:pPr>
              <w:pStyle w:val="Infotext"/>
            </w:pPr>
            <w:r>
              <w:t>Corporate Director</w:t>
            </w:r>
          </w:p>
        </w:tc>
      </w:tr>
      <w:tr w:rsidR="00435B5D" w14:paraId="79CBBC27" w14:textId="77777777" w:rsidTr="004F54BD">
        <w:tc>
          <w:tcPr>
            <w:tcW w:w="4752" w:type="dxa"/>
            <w:tcBorders>
              <w:top w:val="nil"/>
              <w:right w:val="nil"/>
            </w:tcBorders>
          </w:tcPr>
          <w:p w14:paraId="4883D56D" w14:textId="77777777" w:rsidR="00435B5D" w:rsidRDefault="00435B5D" w:rsidP="004F54BD">
            <w:pPr>
              <w:pStyle w:val="Infotext"/>
            </w:pPr>
            <w:r>
              <w:t xml:space="preserve"> </w:t>
            </w:r>
          </w:p>
          <w:p w14:paraId="049F8C65" w14:textId="716BDEBD" w:rsidR="00435B5D" w:rsidRDefault="00435B5D" w:rsidP="002F388D">
            <w:pPr>
              <w:pStyle w:val="Infotext"/>
            </w:pPr>
            <w:r>
              <w:t xml:space="preserve">Date: </w:t>
            </w:r>
            <w:r w:rsidR="00A20D78">
              <w:t xml:space="preserve"> </w:t>
            </w:r>
            <w:r w:rsidR="002F388D">
              <w:t>27</w:t>
            </w:r>
            <w:r w:rsidR="00382E42">
              <w:t>/06/2019</w:t>
            </w:r>
          </w:p>
        </w:tc>
        <w:tc>
          <w:tcPr>
            <w:tcW w:w="387" w:type="dxa"/>
            <w:tcBorders>
              <w:left w:val="nil"/>
              <w:bottom w:val="single" w:sz="4" w:space="0" w:color="auto"/>
              <w:right w:val="nil"/>
            </w:tcBorders>
          </w:tcPr>
          <w:p w14:paraId="77D9B157" w14:textId="77777777" w:rsidR="00435B5D" w:rsidRDefault="00435B5D" w:rsidP="004F54BD">
            <w:pPr>
              <w:pStyle w:val="Infotext"/>
            </w:pPr>
          </w:p>
        </w:tc>
        <w:tc>
          <w:tcPr>
            <w:tcW w:w="236" w:type="dxa"/>
            <w:tcBorders>
              <w:top w:val="nil"/>
              <w:left w:val="nil"/>
              <w:right w:val="nil"/>
            </w:tcBorders>
          </w:tcPr>
          <w:p w14:paraId="75754EB6" w14:textId="77777777" w:rsidR="00435B5D" w:rsidRDefault="00435B5D" w:rsidP="004F54BD">
            <w:pPr>
              <w:pStyle w:val="Infotext"/>
            </w:pPr>
          </w:p>
        </w:tc>
        <w:tc>
          <w:tcPr>
            <w:tcW w:w="3890" w:type="dxa"/>
            <w:tcBorders>
              <w:top w:val="nil"/>
              <w:left w:val="nil"/>
            </w:tcBorders>
          </w:tcPr>
          <w:p w14:paraId="3059A2EA" w14:textId="77777777" w:rsidR="00435B5D" w:rsidRDefault="00435B5D" w:rsidP="004F54BD">
            <w:pPr>
              <w:pStyle w:val="Infotext"/>
            </w:pPr>
          </w:p>
        </w:tc>
      </w:tr>
    </w:tbl>
    <w:p w14:paraId="17FE1982" w14:textId="77777777" w:rsidR="00435B5D" w:rsidRDefault="00435B5D" w:rsidP="00333FAA"/>
    <w:p w14:paraId="55384451"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14:paraId="3DB8F8E9" w14:textId="77777777">
        <w:trPr>
          <w:trHeight w:val="965"/>
        </w:trPr>
        <w:tc>
          <w:tcPr>
            <w:tcW w:w="3025" w:type="pct"/>
            <w:tcBorders>
              <w:right w:val="nil"/>
            </w:tcBorders>
          </w:tcPr>
          <w:p w14:paraId="6AA1BC0D" w14:textId="77777777"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14:paraId="59B83CC0" w14:textId="77777777" w:rsidR="00333FAA" w:rsidRDefault="00333FAA" w:rsidP="00A53B04">
            <w:pPr>
              <w:pStyle w:val="Infotext"/>
              <w:rPr>
                <w:rFonts w:ascii="Arial Black" w:hAnsi="Arial Black"/>
              </w:rPr>
            </w:pPr>
            <w:r>
              <w:rPr>
                <w:rFonts w:ascii="Arial Black" w:hAnsi="Arial Black"/>
              </w:rPr>
              <w:t>Ward Councillors notified:</w:t>
            </w:r>
          </w:p>
          <w:p w14:paraId="0BFF7F86" w14:textId="77777777" w:rsidR="00333FAA" w:rsidRPr="00BD2E91" w:rsidRDefault="00333FAA" w:rsidP="00A53B04">
            <w:pPr>
              <w:pStyle w:val="Infotext"/>
              <w:rPr>
                <w:color w:val="FF0000"/>
              </w:rPr>
            </w:pPr>
          </w:p>
        </w:tc>
        <w:tc>
          <w:tcPr>
            <w:tcW w:w="1975" w:type="pct"/>
            <w:tcBorders>
              <w:left w:val="nil"/>
            </w:tcBorders>
          </w:tcPr>
          <w:p w14:paraId="63CBEF20" w14:textId="77777777" w:rsidR="00333FAA" w:rsidRDefault="00333FAA" w:rsidP="00A53B04">
            <w:pPr>
              <w:pStyle w:val="Infotext"/>
            </w:pPr>
          </w:p>
          <w:p w14:paraId="21A1885A" w14:textId="77777777" w:rsidR="00333FAA" w:rsidRPr="00A406F3" w:rsidRDefault="00333FAA" w:rsidP="00A53B04">
            <w:pPr>
              <w:pStyle w:val="Infotext"/>
              <w:spacing w:before="120"/>
              <w:rPr>
                <w:b/>
              </w:rPr>
            </w:pPr>
            <w:r w:rsidRPr="00A406F3">
              <w:rPr>
                <w:b/>
              </w:rPr>
              <w:t>YES</w:t>
            </w:r>
            <w:r w:rsidR="00382E42">
              <w:rPr>
                <w:b/>
              </w:rPr>
              <w:t xml:space="preserve"> </w:t>
            </w:r>
            <w:r w:rsidRPr="00333FAA">
              <w:rPr>
                <w:b/>
              </w:rPr>
              <w:t>impacts on all Wards</w:t>
            </w:r>
            <w:r w:rsidRPr="00A406F3">
              <w:rPr>
                <w:b/>
              </w:rPr>
              <w:t xml:space="preserve"> </w:t>
            </w:r>
          </w:p>
          <w:p w14:paraId="79A4AE20" w14:textId="77777777" w:rsidR="00333FAA" w:rsidRPr="003D78F6" w:rsidRDefault="00333FAA" w:rsidP="00E42DF8">
            <w:pPr>
              <w:pStyle w:val="Infotext"/>
              <w:rPr>
                <w:i/>
                <w:sz w:val="24"/>
                <w:szCs w:val="24"/>
              </w:rPr>
            </w:pPr>
          </w:p>
        </w:tc>
      </w:tr>
      <w:tr w:rsidR="00333FAA" w:rsidRPr="00303FD6" w14:paraId="28A7063D" w14:textId="77777777">
        <w:trPr>
          <w:trHeight w:val="965"/>
        </w:trPr>
        <w:tc>
          <w:tcPr>
            <w:tcW w:w="3025" w:type="pct"/>
            <w:tcBorders>
              <w:right w:val="nil"/>
            </w:tcBorders>
          </w:tcPr>
          <w:p w14:paraId="7C31E313" w14:textId="77777777" w:rsidR="00333FAA" w:rsidRDefault="00333FAA" w:rsidP="00A53B04">
            <w:pPr>
              <w:pStyle w:val="Infotext"/>
              <w:rPr>
                <w:rFonts w:ascii="Arial Black" w:hAnsi="Arial Black"/>
                <w:color w:val="FF0000"/>
              </w:rPr>
            </w:pPr>
          </w:p>
          <w:p w14:paraId="20E14757" w14:textId="77777777" w:rsidR="00333FAA" w:rsidRPr="00202D79" w:rsidRDefault="00333FAA" w:rsidP="00A53B04">
            <w:pPr>
              <w:pStyle w:val="Infotext"/>
              <w:rPr>
                <w:rFonts w:ascii="Arial Black" w:hAnsi="Arial Black"/>
              </w:rPr>
            </w:pPr>
            <w:r w:rsidRPr="00202D79">
              <w:rPr>
                <w:rFonts w:ascii="Arial Black" w:hAnsi="Arial Black"/>
              </w:rPr>
              <w:t>EqIA carried out:</w:t>
            </w:r>
          </w:p>
          <w:p w14:paraId="7D7A9C9C" w14:textId="77777777" w:rsidR="00333FAA" w:rsidRPr="00202D79" w:rsidRDefault="00333FAA" w:rsidP="00A53B04">
            <w:pPr>
              <w:pStyle w:val="Infotext"/>
              <w:rPr>
                <w:rFonts w:ascii="Arial Black" w:hAnsi="Arial Black"/>
              </w:rPr>
            </w:pPr>
          </w:p>
          <w:p w14:paraId="2622668E" w14:textId="77777777" w:rsidR="00333FAA" w:rsidRDefault="00333FAA" w:rsidP="00A53B04">
            <w:pPr>
              <w:pStyle w:val="Infotext"/>
              <w:rPr>
                <w:rFonts w:ascii="Arial Black" w:hAnsi="Arial Black"/>
              </w:rPr>
            </w:pPr>
            <w:r w:rsidRPr="00202D79">
              <w:rPr>
                <w:rFonts w:ascii="Arial Black" w:hAnsi="Arial Black"/>
              </w:rPr>
              <w:t>EqIA cleared by:</w:t>
            </w:r>
          </w:p>
          <w:p w14:paraId="10C512E1" w14:textId="77777777" w:rsidR="00441C6B" w:rsidRDefault="00441C6B" w:rsidP="00A53B04">
            <w:pPr>
              <w:pStyle w:val="Infotext"/>
              <w:rPr>
                <w:rFonts w:ascii="Arial Black" w:hAnsi="Arial Black"/>
              </w:rPr>
            </w:pPr>
          </w:p>
          <w:p w14:paraId="0157F37B" w14:textId="77777777" w:rsidR="00441C6B" w:rsidRDefault="00441C6B" w:rsidP="00441C6B"/>
          <w:p w14:paraId="26245A2D" w14:textId="77777777" w:rsidR="00441C6B" w:rsidRDefault="00441C6B" w:rsidP="00441C6B"/>
          <w:p w14:paraId="5BA4356E" w14:textId="77777777" w:rsidR="00441C6B" w:rsidRDefault="00441C6B" w:rsidP="00441C6B"/>
          <w:p w14:paraId="63D6FBDD" w14:textId="2EAA72BF" w:rsidR="00441C6B" w:rsidRPr="00441C6B" w:rsidRDefault="00441C6B" w:rsidP="00441C6B">
            <w:r>
              <w:t>An EqIA was not carried out specifically for this report as it includes no proposals for service change.  Where changes result from the acceptance of these reports recommendations, these will be accompanied by an EqIA..</w:t>
            </w:r>
          </w:p>
        </w:tc>
        <w:tc>
          <w:tcPr>
            <w:tcW w:w="1975" w:type="pct"/>
            <w:tcBorders>
              <w:left w:val="nil"/>
            </w:tcBorders>
          </w:tcPr>
          <w:p w14:paraId="49893C67" w14:textId="77777777" w:rsidR="00333FAA" w:rsidRDefault="00333FAA" w:rsidP="00A53B04">
            <w:pPr>
              <w:pStyle w:val="Infotext"/>
              <w:rPr>
                <w:b/>
                <w:color w:val="FF0000"/>
              </w:rPr>
            </w:pPr>
          </w:p>
          <w:p w14:paraId="30DF2392" w14:textId="77777777" w:rsidR="00333FAA" w:rsidRPr="00202D79" w:rsidRDefault="00382E42" w:rsidP="00A53B04">
            <w:pPr>
              <w:pStyle w:val="Infotext"/>
              <w:rPr>
                <w:b/>
              </w:rPr>
            </w:pPr>
            <w:r>
              <w:rPr>
                <w:b/>
              </w:rPr>
              <w:t>NO</w:t>
            </w:r>
          </w:p>
          <w:p w14:paraId="7B645DF2" w14:textId="77777777" w:rsidR="00333FAA" w:rsidRDefault="00333FAA" w:rsidP="00333FAA">
            <w:pPr>
              <w:pStyle w:val="Infotext"/>
              <w:rPr>
                <w:i/>
                <w:sz w:val="24"/>
                <w:szCs w:val="24"/>
              </w:rPr>
            </w:pPr>
            <w:r>
              <w:rPr>
                <w:i/>
                <w:sz w:val="24"/>
                <w:szCs w:val="24"/>
              </w:rPr>
              <w:t xml:space="preserve"> </w:t>
            </w:r>
          </w:p>
          <w:p w14:paraId="5474F8CF" w14:textId="77777777" w:rsidR="00333FAA" w:rsidRPr="00303FD6" w:rsidRDefault="00333FAA" w:rsidP="00A53B04">
            <w:pPr>
              <w:pStyle w:val="Infotext"/>
              <w:rPr>
                <w:b/>
                <w:color w:val="FF0000"/>
              </w:rPr>
            </w:pPr>
          </w:p>
          <w:p w14:paraId="5B60A839" w14:textId="77777777" w:rsidR="00333FAA" w:rsidRDefault="00333FAA" w:rsidP="00A53B04">
            <w:pPr>
              <w:pStyle w:val="Infotext"/>
            </w:pPr>
            <w:r w:rsidRPr="00202D79">
              <w:t xml:space="preserve">If </w:t>
            </w:r>
            <w:r w:rsidRPr="00202D79">
              <w:rPr>
                <w:b/>
              </w:rPr>
              <w:t>‘NO’</w:t>
            </w:r>
            <w:r w:rsidRPr="00202D79">
              <w:t xml:space="preserve"> state why an EqIA is not </w:t>
            </w:r>
            <w:r w:rsidR="002F3EE9">
              <w:t>required</w:t>
            </w:r>
            <w:r w:rsidRPr="00202D79">
              <w:t xml:space="preserve"> for Cabinet to take a decision</w:t>
            </w:r>
          </w:p>
          <w:p w14:paraId="3342E70F" w14:textId="6C1777ED" w:rsidR="00441C6B" w:rsidRPr="00441C6B" w:rsidRDefault="00441C6B" w:rsidP="00A53B04">
            <w:pPr>
              <w:pStyle w:val="Infotext"/>
            </w:pPr>
          </w:p>
        </w:tc>
      </w:tr>
    </w:tbl>
    <w:p w14:paraId="2AA71932" w14:textId="77777777" w:rsidR="00333FAA" w:rsidRDefault="00333FAA" w:rsidP="00333FAA"/>
    <w:p w14:paraId="677E4E21" w14:textId="77777777" w:rsidR="002548D1" w:rsidRDefault="002548D1" w:rsidP="00333FAA"/>
    <w:p w14:paraId="73884651" w14:textId="77777777" w:rsidR="00333FAA" w:rsidRDefault="00333FAA" w:rsidP="00333FAA">
      <w:pPr>
        <w:pStyle w:val="Heading1"/>
        <w:keepNext/>
      </w:pPr>
      <w:r>
        <w:t xml:space="preserve">Section </w:t>
      </w:r>
      <w:r w:rsidR="00A20113">
        <w:t>4</w:t>
      </w:r>
      <w:r>
        <w:t xml:space="preserve"> - Contact Details and Background Papers</w:t>
      </w:r>
    </w:p>
    <w:p w14:paraId="35D01128" w14:textId="77777777" w:rsidR="00333FAA" w:rsidRDefault="00333FAA" w:rsidP="00333FAA">
      <w:pPr>
        <w:keepNext/>
        <w:rPr>
          <w:rFonts w:cs="Arial"/>
        </w:rPr>
      </w:pPr>
    </w:p>
    <w:p w14:paraId="64978CD7" w14:textId="77777777" w:rsidR="00230E26" w:rsidRDefault="00333FAA" w:rsidP="00333FAA">
      <w:pPr>
        <w:pStyle w:val="Infotext"/>
        <w:rPr>
          <w:b/>
        </w:rPr>
      </w:pPr>
      <w:r w:rsidRPr="004E47FC">
        <w:rPr>
          <w:b/>
        </w:rPr>
        <w:t xml:space="preserve">Contact:  </w:t>
      </w:r>
    </w:p>
    <w:p w14:paraId="10E511F3" w14:textId="77777777" w:rsidR="00230E26" w:rsidRPr="00230E26" w:rsidRDefault="00230E26" w:rsidP="00230E26">
      <w:pPr>
        <w:pStyle w:val="Infotext"/>
        <w:rPr>
          <w:sz w:val="24"/>
          <w:szCs w:val="24"/>
        </w:rPr>
      </w:pPr>
      <w:r w:rsidRPr="00230E26">
        <w:rPr>
          <w:sz w:val="24"/>
          <w:szCs w:val="24"/>
        </w:rPr>
        <w:t>Mark Scanlon</w:t>
      </w:r>
    </w:p>
    <w:p w14:paraId="5ECFE41C" w14:textId="77777777" w:rsidR="00230E26" w:rsidRDefault="00230E26" w:rsidP="00230E26">
      <w:pPr>
        <w:pStyle w:val="Infotext"/>
        <w:rPr>
          <w:sz w:val="24"/>
          <w:szCs w:val="24"/>
        </w:rPr>
      </w:pPr>
      <w:r w:rsidRPr="00230E26">
        <w:rPr>
          <w:sz w:val="24"/>
          <w:szCs w:val="24"/>
        </w:rPr>
        <w:t>Head of Service | Early Supp</w:t>
      </w:r>
      <w:r>
        <w:rPr>
          <w:sz w:val="24"/>
          <w:szCs w:val="24"/>
        </w:rPr>
        <w:t>ort and Youth Offending Service</w:t>
      </w:r>
    </w:p>
    <w:p w14:paraId="564964B3" w14:textId="475F2294" w:rsidR="00230E26" w:rsidRPr="00230E26" w:rsidRDefault="00230E26" w:rsidP="00230E26">
      <w:pPr>
        <w:pStyle w:val="Infotext"/>
        <w:rPr>
          <w:sz w:val="24"/>
          <w:szCs w:val="24"/>
        </w:rPr>
      </w:pPr>
      <w:r>
        <w:rPr>
          <w:sz w:val="24"/>
          <w:szCs w:val="24"/>
        </w:rPr>
        <w:t xml:space="preserve">Peoples Directorate, </w:t>
      </w:r>
      <w:r w:rsidRPr="00230E26">
        <w:rPr>
          <w:sz w:val="24"/>
          <w:szCs w:val="24"/>
        </w:rPr>
        <w:t>Harrow Council | Civic Centre | HA1 2XY</w:t>
      </w:r>
    </w:p>
    <w:p w14:paraId="58A90390" w14:textId="77777777" w:rsidR="00230E26" w:rsidRPr="00230E26" w:rsidRDefault="00230E26" w:rsidP="00230E26">
      <w:pPr>
        <w:pStyle w:val="Infotext"/>
        <w:rPr>
          <w:sz w:val="24"/>
          <w:szCs w:val="24"/>
        </w:rPr>
      </w:pPr>
      <w:r w:rsidRPr="00230E26">
        <w:rPr>
          <w:sz w:val="24"/>
          <w:szCs w:val="24"/>
        </w:rPr>
        <w:t>Switchboard number: 020 8863 5611 | Extension 6610</w:t>
      </w:r>
    </w:p>
    <w:p w14:paraId="34C1A822" w14:textId="5E4C5940" w:rsidR="00230E26" w:rsidRPr="00230E26" w:rsidRDefault="00230E26" w:rsidP="00333FAA">
      <w:pPr>
        <w:pStyle w:val="Infotext"/>
        <w:rPr>
          <w:sz w:val="24"/>
        </w:rPr>
      </w:pPr>
      <w:r w:rsidRPr="00230E26">
        <w:rPr>
          <w:sz w:val="24"/>
        </w:rPr>
        <w:t>mark.scanlon@harrow.gov.uk</w:t>
      </w:r>
    </w:p>
    <w:p w14:paraId="46D4575E" w14:textId="77777777" w:rsidR="00333FAA" w:rsidRDefault="00333FAA" w:rsidP="00333FAA"/>
    <w:p w14:paraId="5B288DE9" w14:textId="127D50CF" w:rsidR="00333FAA" w:rsidRPr="00441C6B" w:rsidRDefault="00333FAA" w:rsidP="00333FAA">
      <w:pPr>
        <w:pStyle w:val="Infotext"/>
        <w:rPr>
          <w:b/>
          <w:color w:val="000000" w:themeColor="text1"/>
        </w:rPr>
      </w:pPr>
      <w:r w:rsidRPr="00441C6B">
        <w:rPr>
          <w:b/>
          <w:color w:val="000000" w:themeColor="text1"/>
        </w:rPr>
        <w:t xml:space="preserve">Background Papers: </w:t>
      </w:r>
      <w:r w:rsidR="00441C6B" w:rsidRPr="00441C6B">
        <w:rPr>
          <w:color w:val="000000" w:themeColor="text1"/>
        </w:rPr>
        <w:t xml:space="preserve"> There are no background papers.</w:t>
      </w:r>
    </w:p>
    <w:p w14:paraId="3DD8F88A" w14:textId="77777777" w:rsidR="00333FAA" w:rsidRDefault="00333FAA" w:rsidP="00333FAA">
      <w:pPr>
        <w:pStyle w:val="Infotext"/>
        <w:rPr>
          <w:b/>
        </w:rPr>
      </w:pPr>
    </w:p>
    <w:p w14:paraId="2CFD337D"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14:paraId="37C962C8" w14:textId="77777777">
        <w:trPr>
          <w:trHeight w:val="965"/>
        </w:trPr>
        <w:tc>
          <w:tcPr>
            <w:tcW w:w="2210" w:type="pct"/>
            <w:tcBorders>
              <w:right w:val="nil"/>
            </w:tcBorders>
          </w:tcPr>
          <w:p w14:paraId="08AD1296" w14:textId="77777777" w:rsidR="00333FAA" w:rsidRDefault="00333FAA" w:rsidP="00A53B04">
            <w:pPr>
              <w:pStyle w:val="Infotext"/>
            </w:pPr>
          </w:p>
          <w:p w14:paraId="72AEC59A" w14:textId="77777777"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14:paraId="35DF9F3B" w14:textId="77777777" w:rsidR="00333FAA" w:rsidRDefault="00333FAA" w:rsidP="00A53B04">
            <w:pPr>
              <w:pStyle w:val="Infotext"/>
            </w:pPr>
          </w:p>
          <w:p w14:paraId="2CF99859" w14:textId="77777777" w:rsidR="00333FAA" w:rsidRDefault="00333FAA" w:rsidP="00E42DF8">
            <w:pPr>
              <w:pStyle w:val="Infotext"/>
            </w:pPr>
            <w:bookmarkStart w:id="0" w:name="_GoBack"/>
            <w:bookmarkEnd w:id="0"/>
          </w:p>
        </w:tc>
        <w:tc>
          <w:tcPr>
            <w:tcW w:w="321" w:type="pct"/>
            <w:tcBorders>
              <w:left w:val="nil"/>
              <w:right w:val="nil"/>
            </w:tcBorders>
          </w:tcPr>
          <w:p w14:paraId="7E566552" w14:textId="77777777" w:rsidR="00333FAA" w:rsidRDefault="00333FAA" w:rsidP="00A53B04">
            <w:pPr>
              <w:pStyle w:val="Infotext"/>
            </w:pPr>
          </w:p>
        </w:tc>
        <w:tc>
          <w:tcPr>
            <w:tcW w:w="2469" w:type="pct"/>
            <w:tcBorders>
              <w:left w:val="nil"/>
            </w:tcBorders>
          </w:tcPr>
          <w:p w14:paraId="5379F692" w14:textId="77777777" w:rsidR="00333FAA" w:rsidRDefault="00333FAA" w:rsidP="00A53B04">
            <w:pPr>
              <w:pStyle w:val="Infotext"/>
            </w:pPr>
          </w:p>
          <w:p w14:paraId="20AE6EAD" w14:textId="5D317DEB" w:rsidR="00A9245F" w:rsidRPr="00A9245F" w:rsidRDefault="00E42DF8" w:rsidP="00A9245F">
            <w:pPr>
              <w:pStyle w:val="Infotext"/>
            </w:pPr>
            <w:r>
              <w:rPr>
                <w:b/>
              </w:rPr>
              <w:t>NO</w:t>
            </w:r>
          </w:p>
          <w:p w14:paraId="5ED8A1F0" w14:textId="11D11CCB" w:rsidR="0017653E" w:rsidRPr="0017653E" w:rsidRDefault="0017653E" w:rsidP="0017653E">
            <w:pPr>
              <w:pStyle w:val="Infotext"/>
              <w:ind w:left="173"/>
              <w:rPr>
                <w:rFonts w:cs="Arial"/>
                <w:i/>
                <w:sz w:val="24"/>
                <w:szCs w:val="24"/>
                <w:lang w:eastAsia="en-GB"/>
              </w:rPr>
            </w:pPr>
          </w:p>
        </w:tc>
      </w:tr>
    </w:tbl>
    <w:p w14:paraId="43DF7064" w14:textId="77777777" w:rsidR="000D4E36" w:rsidRPr="00DE71D3" w:rsidRDefault="000D4E36" w:rsidP="001614E0"/>
    <w:sectPr w:rsidR="000D4E36" w:rsidRPr="00DE71D3"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21C11" w14:textId="77777777" w:rsidR="00DB3AC8" w:rsidRDefault="00DB3AC8">
      <w:r>
        <w:separator/>
      </w:r>
    </w:p>
  </w:endnote>
  <w:endnote w:type="continuationSeparator" w:id="0">
    <w:p w14:paraId="115D4FC5" w14:textId="77777777" w:rsidR="00DB3AC8" w:rsidRDefault="00DB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53D94"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ADCB3" w14:textId="77777777" w:rsidR="00DB3AC8" w:rsidRDefault="00DB3AC8">
      <w:r>
        <w:separator/>
      </w:r>
    </w:p>
  </w:footnote>
  <w:footnote w:type="continuationSeparator" w:id="0">
    <w:p w14:paraId="673EAB9A" w14:textId="77777777" w:rsidR="00DB3AC8" w:rsidRDefault="00DB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ABE9"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3BFB"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3281B"/>
    <w:multiLevelType w:val="hybridMultilevel"/>
    <w:tmpl w:val="A2BCA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04956"/>
    <w:multiLevelType w:val="hybridMultilevel"/>
    <w:tmpl w:val="6950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4C708F"/>
    <w:multiLevelType w:val="hybridMultilevel"/>
    <w:tmpl w:val="1350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B447F9"/>
    <w:multiLevelType w:val="hybridMultilevel"/>
    <w:tmpl w:val="B6847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0"/>
  </w:num>
  <w:num w:numId="6">
    <w:abstractNumId w:val="9"/>
  </w:num>
  <w:num w:numId="7">
    <w:abstractNumId w:val="4"/>
  </w:num>
  <w:num w:numId="8">
    <w:abstractNumId w:val="2"/>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32361"/>
    <w:rsid w:val="0004029A"/>
    <w:rsid w:val="00041CF3"/>
    <w:rsid w:val="0006034E"/>
    <w:rsid w:val="00063783"/>
    <w:rsid w:val="00073765"/>
    <w:rsid w:val="000929A6"/>
    <w:rsid w:val="00097BF4"/>
    <w:rsid w:val="000B5015"/>
    <w:rsid w:val="000B788F"/>
    <w:rsid w:val="000D4E36"/>
    <w:rsid w:val="000E62FE"/>
    <w:rsid w:val="001161E4"/>
    <w:rsid w:val="00125A26"/>
    <w:rsid w:val="00140D2F"/>
    <w:rsid w:val="0015376F"/>
    <w:rsid w:val="001614E0"/>
    <w:rsid w:val="00171BD8"/>
    <w:rsid w:val="0017653E"/>
    <w:rsid w:val="00182B01"/>
    <w:rsid w:val="001840D2"/>
    <w:rsid w:val="00191B6B"/>
    <w:rsid w:val="001966D7"/>
    <w:rsid w:val="001C4842"/>
    <w:rsid w:val="001C4D2E"/>
    <w:rsid w:val="001C7E35"/>
    <w:rsid w:val="001E3C06"/>
    <w:rsid w:val="001F0037"/>
    <w:rsid w:val="001F0BE9"/>
    <w:rsid w:val="00202D79"/>
    <w:rsid w:val="00205D2F"/>
    <w:rsid w:val="00207EDF"/>
    <w:rsid w:val="00215E8F"/>
    <w:rsid w:val="00230E26"/>
    <w:rsid w:val="002322BB"/>
    <w:rsid w:val="00251254"/>
    <w:rsid w:val="002548D1"/>
    <w:rsid w:val="002602E4"/>
    <w:rsid w:val="0027283B"/>
    <w:rsid w:val="0028019B"/>
    <w:rsid w:val="00283CAB"/>
    <w:rsid w:val="002A3FEF"/>
    <w:rsid w:val="002B54A6"/>
    <w:rsid w:val="002F388D"/>
    <w:rsid w:val="002F3EE9"/>
    <w:rsid w:val="00307F76"/>
    <w:rsid w:val="00321FBB"/>
    <w:rsid w:val="003222CF"/>
    <w:rsid w:val="00333FAA"/>
    <w:rsid w:val="003355D7"/>
    <w:rsid w:val="0036201C"/>
    <w:rsid w:val="00376768"/>
    <w:rsid w:val="00382E42"/>
    <w:rsid w:val="003A4C08"/>
    <w:rsid w:val="003B3D85"/>
    <w:rsid w:val="003F3AFD"/>
    <w:rsid w:val="004076C8"/>
    <w:rsid w:val="004207E3"/>
    <w:rsid w:val="00421A4C"/>
    <w:rsid w:val="004238C2"/>
    <w:rsid w:val="00435B5D"/>
    <w:rsid w:val="004363F7"/>
    <w:rsid w:val="00441C6B"/>
    <w:rsid w:val="0044525C"/>
    <w:rsid w:val="004553F1"/>
    <w:rsid w:val="00467A58"/>
    <w:rsid w:val="00471C1F"/>
    <w:rsid w:val="00477365"/>
    <w:rsid w:val="004809FA"/>
    <w:rsid w:val="004A4535"/>
    <w:rsid w:val="004C4A75"/>
    <w:rsid w:val="004D2DA0"/>
    <w:rsid w:val="004E14A4"/>
    <w:rsid w:val="004F54BD"/>
    <w:rsid w:val="004F56C5"/>
    <w:rsid w:val="005354D0"/>
    <w:rsid w:val="0054172C"/>
    <w:rsid w:val="0054590F"/>
    <w:rsid w:val="005459EC"/>
    <w:rsid w:val="0057144B"/>
    <w:rsid w:val="005718B5"/>
    <w:rsid w:val="005808FB"/>
    <w:rsid w:val="00582605"/>
    <w:rsid w:val="00591016"/>
    <w:rsid w:val="005B3F67"/>
    <w:rsid w:val="005D548F"/>
    <w:rsid w:val="005D6EF5"/>
    <w:rsid w:val="005E3A10"/>
    <w:rsid w:val="005E7509"/>
    <w:rsid w:val="005F44C9"/>
    <w:rsid w:val="00630C17"/>
    <w:rsid w:val="00645B8B"/>
    <w:rsid w:val="00655044"/>
    <w:rsid w:val="00666922"/>
    <w:rsid w:val="00670F17"/>
    <w:rsid w:val="006710C7"/>
    <w:rsid w:val="00696A83"/>
    <w:rsid w:val="006C580A"/>
    <w:rsid w:val="006D1E69"/>
    <w:rsid w:val="006D4DFF"/>
    <w:rsid w:val="006F057C"/>
    <w:rsid w:val="006F22DA"/>
    <w:rsid w:val="006F2EB3"/>
    <w:rsid w:val="007116B1"/>
    <w:rsid w:val="00714BEE"/>
    <w:rsid w:val="00721215"/>
    <w:rsid w:val="00730058"/>
    <w:rsid w:val="007400CF"/>
    <w:rsid w:val="007B23FC"/>
    <w:rsid w:val="007D0C1D"/>
    <w:rsid w:val="007D4DBF"/>
    <w:rsid w:val="007E4732"/>
    <w:rsid w:val="007E4BA4"/>
    <w:rsid w:val="007F004E"/>
    <w:rsid w:val="007F335A"/>
    <w:rsid w:val="00803104"/>
    <w:rsid w:val="00812901"/>
    <w:rsid w:val="00817A40"/>
    <w:rsid w:val="00826B9A"/>
    <w:rsid w:val="00835F39"/>
    <w:rsid w:val="0085266D"/>
    <w:rsid w:val="008A5AA0"/>
    <w:rsid w:val="008E224D"/>
    <w:rsid w:val="008F582A"/>
    <w:rsid w:val="0092530B"/>
    <w:rsid w:val="0094208C"/>
    <w:rsid w:val="00942F17"/>
    <w:rsid w:val="00952CEF"/>
    <w:rsid w:val="00955421"/>
    <w:rsid w:val="00964712"/>
    <w:rsid w:val="00990E9C"/>
    <w:rsid w:val="00994542"/>
    <w:rsid w:val="00994908"/>
    <w:rsid w:val="009B160B"/>
    <w:rsid w:val="009C237B"/>
    <w:rsid w:val="009E5A93"/>
    <w:rsid w:val="00A20113"/>
    <w:rsid w:val="00A20D78"/>
    <w:rsid w:val="00A2215F"/>
    <w:rsid w:val="00A22839"/>
    <w:rsid w:val="00A22E5D"/>
    <w:rsid w:val="00A23E19"/>
    <w:rsid w:val="00A33185"/>
    <w:rsid w:val="00A53B04"/>
    <w:rsid w:val="00A6541F"/>
    <w:rsid w:val="00A661F4"/>
    <w:rsid w:val="00A7271A"/>
    <w:rsid w:val="00A81E19"/>
    <w:rsid w:val="00A9245F"/>
    <w:rsid w:val="00AB795F"/>
    <w:rsid w:val="00AC6312"/>
    <w:rsid w:val="00AD6D80"/>
    <w:rsid w:val="00B1160D"/>
    <w:rsid w:val="00B444E6"/>
    <w:rsid w:val="00B52011"/>
    <w:rsid w:val="00B53EFF"/>
    <w:rsid w:val="00B54AFA"/>
    <w:rsid w:val="00B671A4"/>
    <w:rsid w:val="00B70EAF"/>
    <w:rsid w:val="00B804E8"/>
    <w:rsid w:val="00BC206C"/>
    <w:rsid w:val="00BC431A"/>
    <w:rsid w:val="00BD722B"/>
    <w:rsid w:val="00C01A35"/>
    <w:rsid w:val="00C03772"/>
    <w:rsid w:val="00C04EDA"/>
    <w:rsid w:val="00C119A2"/>
    <w:rsid w:val="00C57267"/>
    <w:rsid w:val="00C62B63"/>
    <w:rsid w:val="00C631BD"/>
    <w:rsid w:val="00C72B5B"/>
    <w:rsid w:val="00CD7D5D"/>
    <w:rsid w:val="00CF0FC4"/>
    <w:rsid w:val="00CF6932"/>
    <w:rsid w:val="00D01FE3"/>
    <w:rsid w:val="00D026F7"/>
    <w:rsid w:val="00D06CA3"/>
    <w:rsid w:val="00D07F46"/>
    <w:rsid w:val="00D170E5"/>
    <w:rsid w:val="00D25CCF"/>
    <w:rsid w:val="00D37F2F"/>
    <w:rsid w:val="00D415B9"/>
    <w:rsid w:val="00D528E8"/>
    <w:rsid w:val="00D547F5"/>
    <w:rsid w:val="00D771D0"/>
    <w:rsid w:val="00D835CF"/>
    <w:rsid w:val="00DA26FB"/>
    <w:rsid w:val="00DB3AC8"/>
    <w:rsid w:val="00DB6C3D"/>
    <w:rsid w:val="00DC5ACF"/>
    <w:rsid w:val="00DD7468"/>
    <w:rsid w:val="00DE25E9"/>
    <w:rsid w:val="00DE71D3"/>
    <w:rsid w:val="00DE72CF"/>
    <w:rsid w:val="00DF08A0"/>
    <w:rsid w:val="00E42DF8"/>
    <w:rsid w:val="00E54BA4"/>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D47C4"/>
    <w:rsid w:val="00FE17E2"/>
    <w:rsid w:val="00FF2D0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1A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NoSpacing">
    <w:name w:val="No Spacing"/>
    <w:uiPriority w:val="1"/>
    <w:qFormat/>
    <w:rsid w:val="00382E4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NoSpacing">
    <w:name w:val="No Spacing"/>
    <w:uiPriority w:val="1"/>
    <w:qFormat/>
    <w:rsid w:val="00382E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443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496</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Work_x0020_Area xmlns="41e6ebe8-3af6-4658-ad32-01f6adef58ea">Scrutiny</Work_x0020_Area>
    <Financial_x0020_Date xmlns="e48e9339-ef40-4192-ab59-a15ba5582753">2019-06-23T23:00:00+00:00</Financial_x0020_Date>
  </documentManagement>
</p:properti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6D20737721D3B84BA80A2CE32B598B76" ma:contentTypeVersion="12" ma:contentTypeDescription="A basic document." ma:contentTypeScope="" ma:versionID="5acd16a684b2f8e72a1c926bdf5351bb">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06b8aea2be70e919db62becaffd11b1a"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minOccurs="0"/>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5"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e6ebe8-3af6-4658-ad32-01f6adef58ea"/>
    <ds:schemaRef ds:uri="http://purl.org/dc/elements/1.1/"/>
    <ds:schemaRef ds:uri="http://schemas.microsoft.com/office/2006/metadata/properties"/>
    <ds:schemaRef ds:uri="e48e9339-ef40-4192-ab59-a15ba5582753"/>
    <ds:schemaRef ds:uri="http://www.w3.org/XML/1998/namespace"/>
    <ds:schemaRef ds:uri="http://purl.org/dc/dcmitype/"/>
  </ds:schemaRefs>
</ds:datastoreItem>
</file>

<file path=customXml/itemProps4.xml><?xml version="1.0" encoding="utf-8"?>
<ds:datastoreItem xmlns:ds="http://schemas.openxmlformats.org/officeDocument/2006/customXml" ds:itemID="{FC38789F-68CE-4FAC-BA47-9260BAA48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E982F6-C6C0-4014-BF29-795D220E08A9}">
  <ds:schemaRefs>
    <ds:schemaRef ds:uri="Microsoft.SharePoint.Taxonomy.ContentTypeSync"/>
  </ds:schemaRefs>
</ds:datastoreItem>
</file>

<file path=customXml/itemProps6.xml><?xml version="1.0" encoding="utf-8"?>
<ds:datastoreItem xmlns:ds="http://schemas.openxmlformats.org/officeDocument/2006/customXml" ds:itemID="{EE73067C-D77E-42EC-8AEF-79FFB910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1688</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11201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3</cp:revision>
  <cp:lastPrinted>2014-10-31T16:34:00Z</cp:lastPrinted>
  <dcterms:created xsi:type="dcterms:W3CDTF">2019-07-02T15:07:00Z</dcterms:created>
  <dcterms:modified xsi:type="dcterms:W3CDTF">2019-07-03T14:33:00Z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0x0101000226E4B75CFA47B488D2CEFE4DCFDD64006D20737721D3B84BA80A2CE32B598B76</vt:lpwstr>
  </property>
  <property fmtid="{D5CDD505-2E9C-101B-9397-08002B2CF9AE}" pid="3" name="TaxKeyword">
    <vt:lpwstr>496;#Cabinet Report Template|b79b58f4-03f4-47dd-bec7-7bae4bc4af23</vt:lpwstr>
  </property>
</Properties>
</file>